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0" w:type="pct"/>
        <w:tblCellSpacing w:w="0" w:type="dxa"/>
        <w:shd w:val="clear" w:color="auto" w:fill="FFFFFF"/>
        <w:tblCellMar>
          <w:left w:w="0" w:type="dxa"/>
          <w:right w:w="0" w:type="dxa"/>
        </w:tblCellMar>
        <w:tblLook w:val="04A0" w:firstRow="1" w:lastRow="0" w:firstColumn="1" w:lastColumn="0" w:noHBand="0" w:noVBand="1"/>
      </w:tblPr>
      <w:tblGrid>
        <w:gridCol w:w="8580"/>
      </w:tblGrid>
      <w:tr w:rsidR="00F36293" w:rsidRPr="00F36293" w14:paraId="19396F49" w14:textId="77777777" w:rsidTr="00F36293">
        <w:trPr>
          <w:tblCellSpacing w:w="0" w:type="dxa"/>
        </w:trPr>
        <w:tc>
          <w:tcPr>
            <w:tcW w:w="0" w:type="auto"/>
            <w:shd w:val="clear" w:color="auto" w:fill="FFFFFF"/>
            <w:vAlign w:val="center"/>
            <w:hideMark/>
          </w:tcPr>
          <w:p w14:paraId="286A70CA" w14:textId="62C5769F" w:rsidR="006D42F0" w:rsidRPr="006D42F0" w:rsidRDefault="006D42F0">
            <w:pPr>
              <w:rPr>
                <w:rFonts w:asciiTheme="minorEastAsia" w:hAnsiTheme="minorEastAsia"/>
              </w:rPr>
            </w:pPr>
            <w:r w:rsidRPr="006D42F0">
              <w:rPr>
                <w:rFonts w:asciiTheme="minorEastAsia" w:hAnsiTheme="minorEastAsia" w:hint="eastAsia"/>
              </w:rPr>
              <w:t>《澳門日報》</w:t>
            </w:r>
          </w:p>
          <w:tbl>
            <w:tblPr>
              <w:tblW w:w="8580" w:type="dxa"/>
              <w:shd w:val="clear" w:color="auto" w:fill="FFFFFF"/>
              <w:tblCellMar>
                <w:left w:w="0" w:type="dxa"/>
                <w:right w:w="0" w:type="dxa"/>
              </w:tblCellMar>
              <w:tblLook w:val="04A0" w:firstRow="1" w:lastRow="0" w:firstColumn="1" w:lastColumn="0" w:noHBand="0" w:noVBand="1"/>
            </w:tblPr>
            <w:tblGrid>
              <w:gridCol w:w="1605"/>
              <w:gridCol w:w="6870"/>
              <w:gridCol w:w="105"/>
            </w:tblGrid>
            <w:tr w:rsidR="00F36293" w:rsidRPr="00F36293" w14:paraId="3E86A236" w14:textId="77777777" w:rsidTr="00F36293">
              <w:trPr>
                <w:gridAfter w:val="1"/>
                <w:wAfter w:w="105" w:type="dxa"/>
                <w:trHeight w:val="250"/>
              </w:trPr>
              <w:tc>
                <w:tcPr>
                  <w:tcW w:w="1605" w:type="dxa"/>
                  <w:shd w:val="clear" w:color="auto" w:fill="FFFFFF"/>
                  <w:vAlign w:val="center"/>
                  <w:hideMark/>
                </w:tcPr>
                <w:p w14:paraId="496EEA63" w14:textId="77777777" w:rsidR="00F36293" w:rsidRPr="00F36293" w:rsidRDefault="00F36293" w:rsidP="00F36293">
                  <w:pPr>
                    <w:widowControl/>
                    <w:rPr>
                      <w:rFonts w:ascii="Times New Roman" w:eastAsia="Times New Roman" w:hAnsi="Times New Roman" w:cs="Times New Roman"/>
                      <w:kern w:val="0"/>
                      <w:szCs w:val="24"/>
                    </w:rPr>
                  </w:pPr>
                  <w:r w:rsidRPr="00F36293">
                    <w:rPr>
                      <w:rFonts w:ascii="新細明體" w:eastAsia="新細明體" w:hAnsi="新細明體" w:cs="新細明體" w:hint="eastAsia"/>
                      <w:b/>
                      <w:bCs/>
                      <w:kern w:val="0"/>
                      <w:sz w:val="21"/>
                      <w:szCs w:val="21"/>
                    </w:rPr>
                    <w:t>當前報紙日期</w:t>
                  </w:r>
                  <w:r w:rsidRPr="00F36293">
                    <w:rPr>
                      <w:rFonts w:ascii="新細明體" w:eastAsia="新細明體" w:hAnsi="新細明體" w:cs="新細明體"/>
                      <w:b/>
                      <w:bCs/>
                      <w:kern w:val="0"/>
                      <w:sz w:val="21"/>
                      <w:szCs w:val="21"/>
                    </w:rPr>
                    <w:t>：</w:t>
                  </w:r>
                </w:p>
              </w:tc>
              <w:tc>
                <w:tcPr>
                  <w:tcW w:w="6870" w:type="dxa"/>
                  <w:shd w:val="clear" w:color="auto" w:fill="FFFFFF"/>
                  <w:vAlign w:val="center"/>
                  <w:hideMark/>
                </w:tcPr>
                <w:tbl>
                  <w:tblPr>
                    <w:tblW w:w="6870" w:type="dxa"/>
                    <w:tblCellSpacing w:w="0" w:type="dxa"/>
                    <w:tblCellMar>
                      <w:left w:w="0" w:type="dxa"/>
                      <w:right w:w="0" w:type="dxa"/>
                    </w:tblCellMar>
                    <w:tblLook w:val="04A0" w:firstRow="1" w:lastRow="0" w:firstColumn="1" w:lastColumn="0" w:noHBand="0" w:noVBand="1"/>
                  </w:tblPr>
                  <w:tblGrid>
                    <w:gridCol w:w="6870"/>
                  </w:tblGrid>
                  <w:tr w:rsidR="00F36293" w:rsidRPr="00F36293" w14:paraId="31CC94D8" w14:textId="77777777">
                    <w:trPr>
                      <w:trHeight w:val="250"/>
                      <w:tblCellSpacing w:w="0" w:type="dxa"/>
                    </w:trPr>
                    <w:tc>
                      <w:tcPr>
                        <w:tcW w:w="6870" w:type="dxa"/>
                        <w:vAlign w:val="center"/>
                        <w:hideMark/>
                      </w:tcPr>
                      <w:p w14:paraId="3F22B6D3" w14:textId="77777777" w:rsidR="00F36293" w:rsidRPr="00F36293" w:rsidRDefault="00F36293" w:rsidP="00F36293">
                        <w:pPr>
                          <w:widowControl/>
                          <w:rPr>
                            <w:rFonts w:ascii="Times New Roman" w:eastAsia="Times New Roman" w:hAnsi="Times New Roman" w:cs="Times New Roman"/>
                            <w:kern w:val="0"/>
                            <w:szCs w:val="24"/>
                          </w:rPr>
                        </w:pPr>
                        <w:r w:rsidRPr="00F36293">
                          <w:rPr>
                            <w:rFonts w:ascii="Times New Roman" w:eastAsia="Times New Roman" w:hAnsi="Times New Roman" w:cs="Times New Roman"/>
                            <w:b/>
                            <w:bCs/>
                            <w:kern w:val="0"/>
                            <w:sz w:val="21"/>
                            <w:szCs w:val="21"/>
                          </w:rPr>
                          <w:t>2022 </w:t>
                        </w:r>
                        <w:r w:rsidRPr="00F36293">
                          <w:rPr>
                            <w:rFonts w:ascii="新細明體" w:eastAsia="新細明體" w:hAnsi="新細明體" w:cs="新細明體"/>
                            <w:b/>
                            <w:bCs/>
                            <w:kern w:val="0"/>
                            <w:sz w:val="21"/>
                            <w:szCs w:val="21"/>
                          </w:rPr>
                          <w:t>年</w:t>
                        </w:r>
                        <w:r w:rsidRPr="00F36293">
                          <w:rPr>
                            <w:rFonts w:ascii="Times New Roman" w:eastAsia="Times New Roman" w:hAnsi="Times New Roman" w:cs="Times New Roman"/>
                            <w:b/>
                            <w:bCs/>
                            <w:kern w:val="0"/>
                            <w:sz w:val="21"/>
                            <w:szCs w:val="21"/>
                          </w:rPr>
                          <w:t>2</w:t>
                        </w:r>
                        <w:r w:rsidRPr="00F36293">
                          <w:rPr>
                            <w:rFonts w:ascii="新細明體" w:eastAsia="新細明體" w:hAnsi="新細明體" w:cs="新細明體"/>
                            <w:b/>
                            <w:bCs/>
                            <w:kern w:val="0"/>
                            <w:sz w:val="21"/>
                            <w:szCs w:val="21"/>
                          </w:rPr>
                          <w:t>月</w:t>
                        </w:r>
                        <w:r w:rsidRPr="00F36293">
                          <w:rPr>
                            <w:rFonts w:ascii="Times New Roman" w:eastAsia="Times New Roman" w:hAnsi="Times New Roman" w:cs="Times New Roman"/>
                            <w:b/>
                            <w:bCs/>
                            <w:kern w:val="0"/>
                            <w:sz w:val="21"/>
                            <w:szCs w:val="21"/>
                          </w:rPr>
                          <w:t>17</w:t>
                        </w:r>
                        <w:r w:rsidRPr="00F36293">
                          <w:rPr>
                            <w:rFonts w:ascii="新細明體" w:eastAsia="新細明體" w:hAnsi="新細明體" w:cs="新細明體"/>
                            <w:b/>
                            <w:bCs/>
                            <w:kern w:val="0"/>
                            <w:sz w:val="21"/>
                            <w:szCs w:val="21"/>
                          </w:rPr>
                          <w:t>日　星期四</w:t>
                        </w:r>
                      </w:p>
                    </w:tc>
                  </w:tr>
                </w:tbl>
                <w:p w14:paraId="1076F44B" w14:textId="77777777" w:rsidR="00F36293" w:rsidRPr="00F36293" w:rsidRDefault="00F36293" w:rsidP="00F36293">
                  <w:pPr>
                    <w:widowControl/>
                    <w:rPr>
                      <w:rFonts w:ascii="Times New Roman" w:eastAsia="Times New Roman" w:hAnsi="Times New Roman" w:cs="Times New Roman"/>
                      <w:kern w:val="0"/>
                      <w:szCs w:val="24"/>
                    </w:rPr>
                  </w:pPr>
                </w:p>
              </w:tc>
            </w:tr>
            <w:tr w:rsidR="00F36293" w:rsidRPr="00F36293" w14:paraId="54672E16" w14:textId="77777777" w:rsidTr="00F36293">
              <w:tblPrEx>
                <w:tblCellSpacing w:w="0" w:type="dxa"/>
                <w:shd w:val="clear" w:color="auto" w:fill="auto"/>
              </w:tblPrEx>
              <w:trPr>
                <w:tblCellSpacing w:w="0" w:type="dxa"/>
              </w:trPr>
              <w:tc>
                <w:tcPr>
                  <w:tcW w:w="8580" w:type="dxa"/>
                  <w:gridSpan w:val="3"/>
                  <w:tcMar>
                    <w:top w:w="150" w:type="dxa"/>
                    <w:left w:w="90" w:type="dxa"/>
                    <w:bottom w:w="150" w:type="dxa"/>
                    <w:right w:w="0" w:type="dxa"/>
                  </w:tcMar>
                  <w:hideMark/>
                </w:tcPr>
                <w:p w14:paraId="604F11B5" w14:textId="77777777" w:rsidR="00F36293" w:rsidRPr="00F36293" w:rsidRDefault="00F36293" w:rsidP="00F36293">
                  <w:pPr>
                    <w:widowControl/>
                    <w:spacing w:after="240"/>
                    <w:jc w:val="center"/>
                    <w:rPr>
                      <w:rFonts w:ascii="Times New Roman" w:eastAsia="Times New Roman" w:hAnsi="Times New Roman" w:cs="Times New Roman"/>
                      <w:kern w:val="0"/>
                      <w:szCs w:val="24"/>
                    </w:rPr>
                  </w:pPr>
                  <w:r w:rsidRPr="00F36293">
                    <w:rPr>
                      <w:rFonts w:ascii="SimHei" w:eastAsia="SimHei" w:hAnsi="SimHei" w:cs="Times New Roman" w:hint="eastAsia"/>
                      <w:b/>
                      <w:bCs/>
                      <w:kern w:val="0"/>
                      <w:sz w:val="35"/>
                      <w:szCs w:val="35"/>
                    </w:rPr>
                    <w:t>十五人從</w:t>
                  </w:r>
                  <w:proofErr w:type="gramStart"/>
                  <w:r w:rsidRPr="00F36293">
                    <w:rPr>
                      <w:rFonts w:ascii="SimHei" w:eastAsia="SimHei" w:hAnsi="SimHei" w:cs="Times New Roman" w:hint="eastAsia"/>
                      <w:b/>
                      <w:bCs/>
                      <w:kern w:val="0"/>
                      <w:sz w:val="35"/>
                      <w:szCs w:val="35"/>
                    </w:rPr>
                    <w:t>港經珠</w:t>
                  </w:r>
                  <w:proofErr w:type="gramEnd"/>
                  <w:r w:rsidRPr="00F36293">
                    <w:rPr>
                      <w:rFonts w:ascii="SimHei" w:eastAsia="SimHei" w:hAnsi="SimHei" w:cs="Times New Roman" w:hint="eastAsia"/>
                      <w:b/>
                      <w:bCs/>
                      <w:kern w:val="0"/>
                      <w:sz w:val="35"/>
                      <w:szCs w:val="35"/>
                    </w:rPr>
                    <w:t>偷渡入境</w:t>
                  </w:r>
                </w:p>
              </w:tc>
            </w:tr>
          </w:tbl>
          <w:p w14:paraId="155FD9F6" w14:textId="77777777" w:rsidR="00F36293" w:rsidRPr="00F36293" w:rsidRDefault="00F36293" w:rsidP="00F36293">
            <w:pPr>
              <w:widowControl/>
              <w:rPr>
                <w:rFonts w:ascii="Times New Roman" w:eastAsia="Times New Roman" w:hAnsi="Times New Roman" w:cs="Times New Roman"/>
                <w:kern w:val="0"/>
                <w:szCs w:val="24"/>
              </w:rPr>
            </w:pPr>
          </w:p>
        </w:tc>
      </w:tr>
      <w:tr w:rsidR="00F36293" w:rsidRPr="00F36293" w14:paraId="0EBA93EA" w14:textId="77777777" w:rsidTr="00F36293">
        <w:trPr>
          <w:tblCellSpacing w:w="0" w:type="dxa"/>
        </w:trPr>
        <w:tc>
          <w:tcPr>
            <w:tcW w:w="0" w:type="auto"/>
            <w:shd w:val="clear" w:color="auto" w:fill="FFFFFF"/>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7080"/>
            </w:tblGrid>
            <w:tr w:rsidR="00F36293" w:rsidRPr="00F36293" w14:paraId="30B1AE51" w14:textId="77777777">
              <w:trPr>
                <w:tblCellSpacing w:w="15" w:type="dxa"/>
                <w:jc w:val="center"/>
              </w:trPr>
              <w:tc>
                <w:tcPr>
                  <w:tcW w:w="0" w:type="auto"/>
                  <w:vAlign w:val="center"/>
                  <w:hideMark/>
                </w:tcPr>
                <w:tbl>
                  <w:tblPr>
                    <w:tblW w:w="0" w:type="auto"/>
                    <w:tblCellSpacing w:w="15" w:type="dxa"/>
                    <w:shd w:val="clear" w:color="auto" w:fill="EFEFEF"/>
                    <w:tblCellMar>
                      <w:left w:w="0" w:type="dxa"/>
                      <w:right w:w="0" w:type="dxa"/>
                    </w:tblCellMar>
                    <w:tblLook w:val="04A0" w:firstRow="1" w:lastRow="0" w:firstColumn="1" w:lastColumn="0" w:noHBand="0" w:noVBand="1"/>
                  </w:tblPr>
                  <w:tblGrid>
                    <w:gridCol w:w="7020"/>
                  </w:tblGrid>
                  <w:tr w:rsidR="00F36293" w:rsidRPr="00F36293" w14:paraId="3F28E1BC" w14:textId="77777777">
                    <w:trPr>
                      <w:tblCellSpacing w:w="15" w:type="dxa"/>
                    </w:trPr>
                    <w:tc>
                      <w:tcPr>
                        <w:tcW w:w="0" w:type="auto"/>
                        <w:shd w:val="clear" w:color="auto" w:fill="EFEFEF"/>
                        <w:vAlign w:val="center"/>
                        <w:hideMark/>
                      </w:tcPr>
                      <w:tbl>
                        <w:tblPr>
                          <w:tblW w:w="0" w:type="auto"/>
                          <w:tblCellSpacing w:w="15" w:type="dxa"/>
                          <w:tblCellMar>
                            <w:left w:w="0" w:type="dxa"/>
                            <w:right w:w="0" w:type="dxa"/>
                          </w:tblCellMar>
                          <w:tblLook w:val="04A0" w:firstRow="1" w:lastRow="0" w:firstColumn="1" w:lastColumn="0" w:noHBand="0" w:noVBand="1"/>
                        </w:tblPr>
                        <w:tblGrid>
                          <w:gridCol w:w="6960"/>
                        </w:tblGrid>
                        <w:tr w:rsidR="00F36293" w:rsidRPr="00F36293" w14:paraId="7EE619B0" w14:textId="77777777">
                          <w:trPr>
                            <w:tblCellSpacing w:w="15" w:type="dxa"/>
                          </w:trPr>
                          <w:tc>
                            <w:tcPr>
                              <w:tcW w:w="0" w:type="auto"/>
                              <w:vAlign w:val="center"/>
                              <w:hideMark/>
                            </w:tcPr>
                            <w:p w14:paraId="4B6F10D8" w14:textId="07A5DDDA" w:rsidR="00F36293" w:rsidRPr="00F36293" w:rsidRDefault="00F36293" w:rsidP="00F36293">
                              <w:pPr>
                                <w:widowControl/>
                                <w:spacing w:after="240"/>
                                <w:jc w:val="center"/>
                                <w:rPr>
                                  <w:rFonts w:ascii="Times New Roman" w:eastAsia="Times New Roman" w:hAnsi="Times New Roman" w:cs="Times New Roman"/>
                                  <w:kern w:val="0"/>
                                  <w:szCs w:val="24"/>
                                </w:rPr>
                              </w:pPr>
                              <w:r w:rsidRPr="00F36293">
                                <w:rPr>
                                  <w:rFonts w:ascii="Times New Roman" w:eastAsia="Times New Roman" w:hAnsi="Times New Roman" w:cs="Times New Roman"/>
                                  <w:noProof/>
                                  <w:color w:val="0000FF"/>
                                  <w:kern w:val="0"/>
                                  <w:szCs w:val="24"/>
                                </w:rPr>
                                <w:drawing>
                                  <wp:inline distT="0" distB="0" distL="0" distR="0" wp14:anchorId="16DD1EDD" wp14:editId="2E80360A">
                                    <wp:extent cx="2857500" cy="1905000"/>
                                    <wp:effectExtent l="0" t="0" r="0" b="0"/>
                                    <wp:docPr id="2" name="圖片 2">
                                      <a:hlinkClick xmlns:a="http://schemas.openxmlformats.org/drawingml/2006/main" r:id="rId6" tooltip="&quot;澳門日報版權所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ooltip="&quot;澳門日報版權所有&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F36293" w:rsidRPr="00F36293" w14:paraId="7A545CAF" w14:textId="77777777">
                          <w:trPr>
                            <w:tblCellSpacing w:w="15" w:type="dxa"/>
                          </w:trPr>
                          <w:tc>
                            <w:tcPr>
                              <w:tcW w:w="6900" w:type="dxa"/>
                              <w:vAlign w:val="center"/>
                              <w:hideMark/>
                            </w:tcPr>
                            <w:p w14:paraId="5C74725E" w14:textId="77777777" w:rsidR="00F36293" w:rsidRPr="00F36293" w:rsidRDefault="00F36293" w:rsidP="00F36293">
                              <w:pPr>
                                <w:widowControl/>
                                <w:rPr>
                                  <w:rFonts w:ascii="Times New Roman" w:eastAsia="Times New Roman" w:hAnsi="Times New Roman" w:cs="Times New Roman"/>
                                  <w:kern w:val="0"/>
                                  <w:szCs w:val="24"/>
                                </w:rPr>
                              </w:pPr>
                              <w:r w:rsidRPr="00F36293">
                                <w:rPr>
                                  <w:rFonts w:ascii="Segoe UI Emoji" w:eastAsia="Times New Roman" w:hAnsi="Segoe UI Emoji" w:cs="Segoe UI Emoji"/>
                                  <w:kern w:val="0"/>
                                  <w:sz w:val="20"/>
                                  <w:szCs w:val="20"/>
                                </w:rPr>
                                <w:t>⬆</w:t>
                              </w:r>
                              <w:r w:rsidRPr="00F36293">
                                <w:rPr>
                                  <w:rFonts w:ascii="新細明體" w:eastAsia="新細明體" w:hAnsi="新細明體" w:cs="新細明體"/>
                                  <w:kern w:val="0"/>
                                  <w:sz w:val="20"/>
                                  <w:szCs w:val="20"/>
                                </w:rPr>
                                <w:t>珠海加強海上反走私反偷渡檢查，嚴防香港疫情輸入。（本報記者</w:t>
                              </w:r>
                              <w:r w:rsidRPr="00F36293">
                                <w:rPr>
                                  <w:rFonts w:ascii="Times New Roman" w:eastAsia="Times New Roman" w:hAnsi="Times New Roman" w:cs="Times New Roman"/>
                                  <w:kern w:val="0"/>
                                  <w:sz w:val="20"/>
                                  <w:szCs w:val="20"/>
                                </w:rPr>
                                <w:t xml:space="preserve"> </w:t>
                              </w:r>
                              <w:r w:rsidRPr="00F36293">
                                <w:rPr>
                                  <w:rFonts w:ascii="新細明體" w:eastAsia="新細明體" w:hAnsi="新細明體" w:cs="新細明體"/>
                                  <w:kern w:val="0"/>
                                  <w:sz w:val="20"/>
                                  <w:szCs w:val="20"/>
                                </w:rPr>
                                <w:t>攝）</w:t>
                              </w:r>
                            </w:p>
                          </w:tc>
                        </w:tr>
                      </w:tbl>
                      <w:p w14:paraId="11748BEE" w14:textId="77777777" w:rsidR="00F36293" w:rsidRPr="00F36293" w:rsidRDefault="00F36293" w:rsidP="00F36293">
                        <w:pPr>
                          <w:widowControl/>
                          <w:rPr>
                            <w:rFonts w:ascii="Times New Roman" w:eastAsia="Times New Roman" w:hAnsi="Times New Roman" w:cs="Times New Roman"/>
                            <w:kern w:val="0"/>
                            <w:szCs w:val="24"/>
                          </w:rPr>
                        </w:pPr>
                      </w:p>
                    </w:tc>
                  </w:tr>
                </w:tbl>
                <w:p w14:paraId="1E68AC96" w14:textId="77777777" w:rsidR="00F36293" w:rsidRPr="00F36293" w:rsidRDefault="00F36293" w:rsidP="00F36293">
                  <w:pPr>
                    <w:widowControl/>
                    <w:rPr>
                      <w:rFonts w:ascii="Times New Roman" w:eastAsia="Times New Roman" w:hAnsi="Times New Roman" w:cs="Times New Roman"/>
                      <w:kern w:val="0"/>
                      <w:szCs w:val="24"/>
                    </w:rPr>
                  </w:pPr>
                </w:p>
              </w:tc>
            </w:tr>
            <w:tr w:rsidR="00F36293" w:rsidRPr="00F36293" w14:paraId="1973F9AB" w14:textId="77777777">
              <w:trPr>
                <w:tblCellSpacing w:w="15" w:type="dxa"/>
                <w:jc w:val="center"/>
              </w:trPr>
              <w:tc>
                <w:tcPr>
                  <w:tcW w:w="0" w:type="auto"/>
                  <w:vAlign w:val="center"/>
                  <w:hideMark/>
                </w:tcPr>
                <w:tbl>
                  <w:tblPr>
                    <w:tblW w:w="0" w:type="auto"/>
                    <w:tblCellSpacing w:w="15" w:type="dxa"/>
                    <w:shd w:val="clear" w:color="auto" w:fill="EFEFEF"/>
                    <w:tblCellMar>
                      <w:left w:w="0" w:type="dxa"/>
                      <w:right w:w="0" w:type="dxa"/>
                    </w:tblCellMar>
                    <w:tblLook w:val="04A0" w:firstRow="1" w:lastRow="0" w:firstColumn="1" w:lastColumn="0" w:noHBand="0" w:noVBand="1"/>
                  </w:tblPr>
                  <w:tblGrid>
                    <w:gridCol w:w="7020"/>
                  </w:tblGrid>
                  <w:tr w:rsidR="00F36293" w:rsidRPr="00F36293" w14:paraId="17D1AA6D" w14:textId="77777777">
                    <w:trPr>
                      <w:tblCellSpacing w:w="15" w:type="dxa"/>
                    </w:trPr>
                    <w:tc>
                      <w:tcPr>
                        <w:tcW w:w="0" w:type="auto"/>
                        <w:shd w:val="clear" w:color="auto" w:fill="EFEFEF"/>
                        <w:vAlign w:val="center"/>
                        <w:hideMark/>
                      </w:tcPr>
                      <w:tbl>
                        <w:tblPr>
                          <w:tblW w:w="0" w:type="auto"/>
                          <w:tblCellSpacing w:w="15" w:type="dxa"/>
                          <w:tblCellMar>
                            <w:left w:w="0" w:type="dxa"/>
                            <w:right w:w="0" w:type="dxa"/>
                          </w:tblCellMar>
                          <w:tblLook w:val="04A0" w:firstRow="1" w:lastRow="0" w:firstColumn="1" w:lastColumn="0" w:noHBand="0" w:noVBand="1"/>
                        </w:tblPr>
                        <w:tblGrid>
                          <w:gridCol w:w="6960"/>
                        </w:tblGrid>
                        <w:tr w:rsidR="00F36293" w:rsidRPr="00F36293" w14:paraId="5FCB1640" w14:textId="77777777">
                          <w:trPr>
                            <w:tblCellSpacing w:w="15" w:type="dxa"/>
                          </w:trPr>
                          <w:tc>
                            <w:tcPr>
                              <w:tcW w:w="0" w:type="auto"/>
                              <w:vAlign w:val="center"/>
                              <w:hideMark/>
                            </w:tcPr>
                            <w:p w14:paraId="2B791944" w14:textId="1CCF4A42" w:rsidR="00F36293" w:rsidRPr="00F36293" w:rsidRDefault="00F36293" w:rsidP="00F36293">
                              <w:pPr>
                                <w:widowControl/>
                                <w:spacing w:after="240"/>
                                <w:jc w:val="center"/>
                                <w:rPr>
                                  <w:rFonts w:ascii="Times New Roman" w:eastAsia="Times New Roman" w:hAnsi="Times New Roman" w:cs="Times New Roman"/>
                                  <w:kern w:val="0"/>
                                  <w:szCs w:val="24"/>
                                </w:rPr>
                              </w:pPr>
                              <w:r w:rsidRPr="00F36293">
                                <w:rPr>
                                  <w:rFonts w:ascii="Times New Roman" w:eastAsia="Times New Roman" w:hAnsi="Times New Roman" w:cs="Times New Roman"/>
                                  <w:noProof/>
                                  <w:color w:val="0000FF"/>
                                  <w:kern w:val="0"/>
                                  <w:szCs w:val="24"/>
                                </w:rPr>
                                <w:drawing>
                                  <wp:inline distT="0" distB="0" distL="0" distR="0" wp14:anchorId="3BF5D091" wp14:editId="72F0D95A">
                                    <wp:extent cx="2857500" cy="1905000"/>
                                    <wp:effectExtent l="0" t="0" r="0" b="0"/>
                                    <wp:docPr id="1" name="圖片 1">
                                      <a:hlinkClick xmlns:a="http://schemas.openxmlformats.org/drawingml/2006/main" r:id="rId8" tooltip="&quot;澳門日報版權所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澳門日報版權所有&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F36293" w:rsidRPr="00F36293" w14:paraId="5833A591" w14:textId="77777777">
                          <w:trPr>
                            <w:tblCellSpacing w:w="15" w:type="dxa"/>
                          </w:trPr>
                          <w:tc>
                            <w:tcPr>
                              <w:tcW w:w="6900" w:type="dxa"/>
                              <w:vAlign w:val="center"/>
                              <w:hideMark/>
                            </w:tcPr>
                            <w:p w14:paraId="0D217935" w14:textId="77777777" w:rsidR="00F36293" w:rsidRPr="00F36293" w:rsidRDefault="00F36293" w:rsidP="00F36293">
                              <w:pPr>
                                <w:widowControl/>
                                <w:rPr>
                                  <w:rFonts w:ascii="Times New Roman" w:eastAsia="Times New Roman" w:hAnsi="Times New Roman" w:cs="Times New Roman"/>
                                  <w:kern w:val="0"/>
                                  <w:szCs w:val="24"/>
                                </w:rPr>
                              </w:pPr>
                              <w:r w:rsidRPr="00F36293">
                                <w:rPr>
                                  <w:rFonts w:ascii="Segoe UI Emoji" w:eastAsia="Times New Roman" w:hAnsi="Segoe UI Emoji" w:cs="Segoe UI Emoji"/>
                                  <w:kern w:val="0"/>
                                  <w:sz w:val="20"/>
                                  <w:szCs w:val="20"/>
                                </w:rPr>
                                <w:t>➡</w:t>
                              </w:r>
                              <w:r w:rsidRPr="00F36293">
                                <w:rPr>
                                  <w:rFonts w:ascii="新細明體" w:eastAsia="新細明體" w:hAnsi="新細明體" w:cs="新細明體"/>
                                  <w:kern w:val="0"/>
                                  <w:sz w:val="20"/>
                                  <w:szCs w:val="20"/>
                                </w:rPr>
                                <w:t>執法人員加強盤查海上漁船（本報記者</w:t>
                              </w:r>
                              <w:r w:rsidRPr="00F36293">
                                <w:rPr>
                                  <w:rFonts w:ascii="Times New Roman" w:eastAsia="Times New Roman" w:hAnsi="Times New Roman" w:cs="Times New Roman"/>
                                  <w:kern w:val="0"/>
                                  <w:sz w:val="20"/>
                                  <w:szCs w:val="20"/>
                                </w:rPr>
                                <w:t xml:space="preserve"> </w:t>
                              </w:r>
                              <w:r w:rsidRPr="00F36293">
                                <w:rPr>
                                  <w:rFonts w:ascii="新細明體" w:eastAsia="新細明體" w:hAnsi="新細明體" w:cs="新細明體"/>
                                  <w:kern w:val="0"/>
                                  <w:sz w:val="20"/>
                                  <w:szCs w:val="20"/>
                                </w:rPr>
                                <w:t>攝）</w:t>
                              </w:r>
                            </w:p>
                          </w:tc>
                        </w:tr>
                      </w:tbl>
                      <w:p w14:paraId="5063982C" w14:textId="77777777" w:rsidR="00F36293" w:rsidRPr="00F36293" w:rsidRDefault="00F36293" w:rsidP="00F36293">
                        <w:pPr>
                          <w:widowControl/>
                          <w:rPr>
                            <w:rFonts w:ascii="Times New Roman" w:eastAsia="Times New Roman" w:hAnsi="Times New Roman" w:cs="Times New Roman"/>
                            <w:kern w:val="0"/>
                            <w:szCs w:val="24"/>
                          </w:rPr>
                        </w:pPr>
                      </w:p>
                    </w:tc>
                  </w:tr>
                </w:tbl>
                <w:p w14:paraId="6183D44A" w14:textId="77777777" w:rsidR="00F36293" w:rsidRPr="00F36293" w:rsidRDefault="00F36293" w:rsidP="00F36293">
                  <w:pPr>
                    <w:widowControl/>
                    <w:rPr>
                      <w:rFonts w:ascii="Times New Roman" w:eastAsia="Times New Roman" w:hAnsi="Times New Roman" w:cs="Times New Roman"/>
                      <w:kern w:val="0"/>
                      <w:szCs w:val="24"/>
                    </w:rPr>
                  </w:pPr>
                </w:p>
              </w:tc>
            </w:tr>
          </w:tbl>
          <w:p w14:paraId="113DE659" w14:textId="77777777" w:rsidR="00F36293" w:rsidRPr="00F36293" w:rsidRDefault="00F36293" w:rsidP="00F36293">
            <w:pPr>
              <w:widowControl/>
              <w:rPr>
                <w:rFonts w:ascii="Times New Roman" w:eastAsia="Times New Roman" w:hAnsi="Times New Roman" w:cs="Times New Roman"/>
                <w:kern w:val="0"/>
                <w:szCs w:val="24"/>
              </w:rPr>
            </w:pPr>
          </w:p>
        </w:tc>
      </w:tr>
      <w:tr w:rsidR="00F36293" w:rsidRPr="00F36293" w14:paraId="4D77BBD1" w14:textId="77777777" w:rsidTr="00F36293">
        <w:trPr>
          <w:tblCellSpacing w:w="0" w:type="dxa"/>
        </w:trPr>
        <w:tc>
          <w:tcPr>
            <w:tcW w:w="0" w:type="auto"/>
            <w:shd w:val="clear" w:color="auto" w:fill="FFFFFF"/>
            <w:vAlign w:val="center"/>
            <w:hideMark/>
          </w:tcPr>
          <w:tbl>
            <w:tblPr>
              <w:tblW w:w="8580" w:type="dxa"/>
              <w:tblCellSpacing w:w="0" w:type="dxa"/>
              <w:tblCellMar>
                <w:left w:w="0" w:type="dxa"/>
                <w:right w:w="0" w:type="dxa"/>
              </w:tblCellMar>
              <w:tblLook w:val="04A0" w:firstRow="1" w:lastRow="0" w:firstColumn="1" w:lastColumn="0" w:noHBand="0" w:noVBand="1"/>
            </w:tblPr>
            <w:tblGrid>
              <w:gridCol w:w="8580"/>
            </w:tblGrid>
            <w:tr w:rsidR="00F36293" w:rsidRPr="00F36293" w14:paraId="190B3700" w14:textId="77777777">
              <w:trPr>
                <w:tblCellSpacing w:w="0" w:type="dxa"/>
              </w:trPr>
              <w:tc>
                <w:tcPr>
                  <w:tcW w:w="0" w:type="auto"/>
                  <w:tcMar>
                    <w:top w:w="0" w:type="dxa"/>
                    <w:left w:w="150" w:type="dxa"/>
                    <w:bottom w:w="0" w:type="dxa"/>
                    <w:right w:w="450" w:type="dxa"/>
                  </w:tcMar>
                  <w:vAlign w:val="center"/>
                  <w:hideMark/>
                </w:tcPr>
                <w:p w14:paraId="26C93899"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十五人從</w:t>
                  </w:r>
                  <w:proofErr w:type="gramStart"/>
                  <w:r w:rsidRPr="00F36293">
                    <w:rPr>
                      <w:rFonts w:ascii="新細明體" w:eastAsia="新細明體" w:hAnsi="新細明體" w:cs="新細明體"/>
                      <w:kern w:val="0"/>
                      <w:szCs w:val="24"/>
                    </w:rPr>
                    <w:t>港經珠</w:t>
                  </w:r>
                  <w:proofErr w:type="gramEnd"/>
                  <w:r w:rsidRPr="00F36293">
                    <w:rPr>
                      <w:rFonts w:ascii="新細明體" w:eastAsia="新細明體" w:hAnsi="新細明體" w:cs="新細明體"/>
                      <w:kern w:val="0"/>
                      <w:szCs w:val="24"/>
                    </w:rPr>
                    <w:t>偷渡入境</w:t>
                  </w:r>
                </w:p>
                <w:p w14:paraId="108D0F17"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粵緊急通知各市加強防控</w:t>
                  </w:r>
                </w:p>
                <w:p w14:paraId="0E88A01A"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【本報消息】有香港媒體報道稱，廣東省已緊急通知各市要求</w:t>
                  </w:r>
                  <w:proofErr w:type="gramStart"/>
                  <w:r w:rsidRPr="00F36293">
                    <w:rPr>
                      <w:rFonts w:ascii="新細明體" w:eastAsia="新細明體" w:hAnsi="新細明體" w:cs="新細明體"/>
                      <w:kern w:val="0"/>
                      <w:szCs w:val="24"/>
                    </w:rPr>
                    <w:t>加強防控措施</w:t>
                  </w:r>
                  <w:proofErr w:type="gramEnd"/>
                  <w:r w:rsidRPr="00F36293">
                    <w:rPr>
                      <w:rFonts w:ascii="新細明體" w:eastAsia="新細明體" w:hAnsi="新細明體" w:cs="新細明體"/>
                      <w:kern w:val="0"/>
                      <w:szCs w:val="24"/>
                    </w:rPr>
                    <w:t>，並通報共有十五人從香港經珠海市偷渡入境，已追蹤到十二人，涉及廣州、深圳、佛山、東</w:t>
                  </w:r>
                  <w:proofErr w:type="gramStart"/>
                  <w:r w:rsidRPr="00F36293">
                    <w:rPr>
                      <w:rFonts w:ascii="新細明體" w:eastAsia="新細明體" w:hAnsi="新細明體" w:cs="新細明體"/>
                      <w:kern w:val="0"/>
                      <w:szCs w:val="24"/>
                    </w:rPr>
                    <w:t>莞</w:t>
                  </w:r>
                  <w:proofErr w:type="gramEnd"/>
                  <w:r w:rsidRPr="00F36293">
                    <w:rPr>
                      <w:rFonts w:ascii="新細明體" w:eastAsia="新細明體" w:hAnsi="新細明體" w:cs="新細明體"/>
                      <w:kern w:val="0"/>
                      <w:szCs w:val="24"/>
                    </w:rPr>
                    <w:t>、惠州，以及省外的湖南、福建。目前該批偷渡人員中，已有兩人在湖南</w:t>
                  </w:r>
                  <w:proofErr w:type="gramStart"/>
                  <w:r w:rsidRPr="00F36293">
                    <w:rPr>
                      <w:rFonts w:ascii="新細明體" w:eastAsia="新細明體" w:hAnsi="新細明體" w:cs="新細明體"/>
                      <w:kern w:val="0"/>
                      <w:szCs w:val="24"/>
                    </w:rPr>
                    <w:t>郴州檢</w:t>
                  </w:r>
                  <w:proofErr w:type="gramEnd"/>
                  <w:r w:rsidRPr="00F36293">
                    <w:rPr>
                      <w:rFonts w:ascii="新細明體" w:eastAsia="新細明體" w:hAnsi="新細明體" w:cs="新細明體"/>
                      <w:kern w:val="0"/>
                      <w:szCs w:val="24"/>
                    </w:rPr>
                    <w:t>出陽性、兩人在廣州檢出陽性，另有兩名同船人員在博羅縣龍溪街道作為高危密接人員予以集中隔離醫學觀察。</w:t>
                  </w:r>
                </w:p>
                <w:p w14:paraId="2A72C882"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proofErr w:type="gramStart"/>
                  <w:r w:rsidRPr="00F36293">
                    <w:rPr>
                      <w:rFonts w:ascii="新細明體" w:eastAsia="新細明體" w:hAnsi="新細明體" w:cs="新細明體"/>
                      <w:kern w:val="0"/>
                      <w:szCs w:val="24"/>
                    </w:rPr>
                    <w:t>兩確診</w:t>
                  </w:r>
                  <w:proofErr w:type="gramEnd"/>
                  <w:r w:rsidRPr="00F36293">
                    <w:rPr>
                      <w:rFonts w:ascii="新細明體" w:eastAsia="新細明體" w:hAnsi="新細明體" w:cs="新細明體"/>
                      <w:kern w:val="0"/>
                      <w:szCs w:val="24"/>
                    </w:rPr>
                    <w:t>者</w:t>
                  </w:r>
                  <w:proofErr w:type="gramStart"/>
                  <w:r w:rsidRPr="00F36293">
                    <w:rPr>
                      <w:rFonts w:ascii="新細明體" w:eastAsia="新細明體" w:hAnsi="新細明體" w:cs="新細明體"/>
                      <w:kern w:val="0"/>
                      <w:szCs w:val="24"/>
                    </w:rPr>
                    <w:t>入湘被拘</w:t>
                  </w:r>
                  <w:proofErr w:type="gramEnd"/>
                </w:p>
                <w:p w14:paraId="1082EC82"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湖南省</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州市十五日報告兩例香港返</w:t>
                  </w:r>
                  <w:proofErr w:type="gramStart"/>
                  <w:r w:rsidRPr="00F36293">
                    <w:rPr>
                      <w:rFonts w:ascii="新細明體" w:eastAsia="新細明體" w:hAnsi="新細明體" w:cs="新細明體"/>
                      <w:kern w:val="0"/>
                      <w:szCs w:val="24"/>
                    </w:rPr>
                    <w:t>郴人員新冠肺炎</w:t>
                  </w:r>
                  <w:proofErr w:type="gramEnd"/>
                  <w:r w:rsidRPr="00F36293">
                    <w:rPr>
                      <w:rFonts w:ascii="新細明體" w:eastAsia="新細明體" w:hAnsi="新細明體" w:cs="新細明體"/>
                      <w:kern w:val="0"/>
                      <w:szCs w:val="24"/>
                    </w:rPr>
                    <w:t>確診病例。</w:t>
                  </w:r>
                </w:p>
                <w:p w14:paraId="09B8036F"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lastRenderedPageBreak/>
                    <w:t>    </w:t>
                  </w:r>
                  <w:r w:rsidRPr="00F36293">
                    <w:rPr>
                      <w:rFonts w:ascii="新細明體" w:eastAsia="新細明體" w:hAnsi="新細明體" w:cs="新細明體"/>
                      <w:kern w:val="0"/>
                      <w:szCs w:val="24"/>
                    </w:rPr>
                    <w:t>十六日，</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州市公安局北湖分局發佈警情通報證實，兩名患者蕭某、鄧某康以非法途徑從香港入境珠海市斗門區，再自駕到</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州市。兩人因涉嫌妨害傳染病防治罪等罪名，已被公安機關立案偵查。</w:t>
                  </w:r>
                </w:p>
                <w:p w14:paraId="73686262"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通報稱，二月十五日，</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州市報告兩</w:t>
                  </w:r>
                  <w:proofErr w:type="gramStart"/>
                  <w:r w:rsidRPr="00F36293">
                    <w:rPr>
                      <w:rFonts w:ascii="新細明體" w:eastAsia="新細明體" w:hAnsi="新細明體" w:cs="新細明體"/>
                      <w:kern w:val="0"/>
                      <w:szCs w:val="24"/>
                    </w:rPr>
                    <w:t>例新冠</w:t>
                  </w:r>
                  <w:proofErr w:type="gramEnd"/>
                  <w:r w:rsidRPr="00F36293">
                    <w:rPr>
                      <w:rFonts w:ascii="新細明體" w:eastAsia="新細明體" w:hAnsi="新細明體" w:cs="新細明體"/>
                      <w:kern w:val="0"/>
                      <w:szCs w:val="24"/>
                    </w:rPr>
                    <w:t>肺炎確診病例，確診病例為蕭某、鄧某康。經查，二月十四日凌晨四時，蕭某、鄧某康通過非法途徑從香港入境廣東省珠海市斗門區，爾後利用提前準備的車輛和手機經高速公路進入</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w:t>
                  </w:r>
                </w:p>
                <w:p w14:paraId="06933820"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活動軌跡顯示，上述兩人二月十四日凌晨四時從香港坐船，早上五至六時左右到達廣東省珠海市斗門區；六時左右兩人從珠海自行駕駛私家車，</w:t>
                  </w:r>
                  <w:proofErr w:type="gramStart"/>
                  <w:r w:rsidRPr="00F36293">
                    <w:rPr>
                      <w:rFonts w:ascii="新細明體" w:eastAsia="新細明體" w:hAnsi="新細明體" w:cs="新細明體"/>
                      <w:kern w:val="0"/>
                      <w:szCs w:val="24"/>
                    </w:rPr>
                    <w:t>經樂廣</w:t>
                  </w:r>
                  <w:proofErr w:type="gramEnd"/>
                  <w:r w:rsidRPr="00F36293">
                    <w:rPr>
                      <w:rFonts w:ascii="新細明體" w:eastAsia="新細明體" w:hAnsi="新細明體" w:cs="新細明體"/>
                      <w:kern w:val="0"/>
                      <w:szCs w:val="24"/>
                    </w:rPr>
                    <w:t>高速於當日十六時左右從</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州西高速出口駛出；十六時</w:t>
                  </w:r>
                  <w:proofErr w:type="gramStart"/>
                  <w:r w:rsidRPr="00F36293">
                    <w:rPr>
                      <w:rFonts w:ascii="新細明體" w:eastAsia="新細明體" w:hAnsi="新細明體" w:cs="新細明體"/>
                      <w:kern w:val="0"/>
                      <w:szCs w:val="24"/>
                    </w:rPr>
                    <w:t>廿</w:t>
                  </w:r>
                  <w:proofErr w:type="gramEnd"/>
                  <w:r w:rsidRPr="00F36293">
                    <w:rPr>
                      <w:rFonts w:ascii="新細明體" w:eastAsia="新細明體" w:hAnsi="新細明體" w:cs="新細明體"/>
                      <w:kern w:val="0"/>
                      <w:szCs w:val="24"/>
                    </w:rPr>
                    <w:t>一分兩人自駕到</w:t>
                  </w:r>
                  <w:proofErr w:type="gramStart"/>
                  <w:r w:rsidRPr="00F36293">
                    <w:rPr>
                      <w:rFonts w:ascii="新細明體" w:eastAsia="新細明體" w:hAnsi="新細明體" w:cs="新細明體"/>
                      <w:kern w:val="0"/>
                      <w:szCs w:val="24"/>
                    </w:rPr>
                    <w:t>郴</w:t>
                  </w:r>
                  <w:proofErr w:type="gramEnd"/>
                  <w:r w:rsidRPr="00F36293">
                    <w:rPr>
                      <w:rFonts w:ascii="新細明體" w:eastAsia="新細明體" w:hAnsi="新細明體" w:cs="新細明體"/>
                      <w:kern w:val="0"/>
                      <w:szCs w:val="24"/>
                    </w:rPr>
                    <w:t>州市第一人民醫院南院進行核酸檢測。</w:t>
                  </w:r>
                </w:p>
                <w:p w14:paraId="58DCD41A"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上述兩病例通過非法途徑入境後，珠海市香洲區等各個區</w:t>
                  </w:r>
                  <w:proofErr w:type="gramStart"/>
                  <w:r w:rsidRPr="00F36293">
                    <w:rPr>
                      <w:rFonts w:ascii="新細明體" w:eastAsia="新細明體" w:hAnsi="新細明體" w:cs="新細明體"/>
                      <w:kern w:val="0"/>
                      <w:szCs w:val="24"/>
                    </w:rPr>
                    <w:t>疫情防控</w:t>
                  </w:r>
                  <w:proofErr w:type="gramEnd"/>
                  <w:r w:rsidRPr="00F36293">
                    <w:rPr>
                      <w:rFonts w:ascii="新細明體" w:eastAsia="新細明體" w:hAnsi="新細明體" w:cs="新細明體"/>
                      <w:kern w:val="0"/>
                      <w:szCs w:val="24"/>
                    </w:rPr>
                    <w:t>指揮部相繼發佈通告，懸賞徵集</w:t>
                  </w:r>
                  <w:proofErr w:type="gramStart"/>
                  <w:r w:rsidRPr="00F36293">
                    <w:rPr>
                      <w:rFonts w:ascii="新細明體" w:eastAsia="新細明體" w:hAnsi="新細明體" w:cs="新細明體"/>
                      <w:kern w:val="0"/>
                      <w:szCs w:val="24"/>
                    </w:rPr>
                    <w:t>疫情防控</w:t>
                  </w:r>
                  <w:proofErr w:type="gramEnd"/>
                  <w:r w:rsidRPr="00F36293">
                    <w:rPr>
                      <w:rFonts w:ascii="新細明體" w:eastAsia="新細明體" w:hAnsi="新細明體" w:cs="新細明體"/>
                      <w:kern w:val="0"/>
                      <w:szCs w:val="24"/>
                    </w:rPr>
                    <w:t>反走私反偷渡線索。</w:t>
                  </w:r>
                </w:p>
                <w:p w14:paraId="2AC1D74B"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proofErr w:type="gramStart"/>
                  <w:r w:rsidRPr="00F36293">
                    <w:rPr>
                      <w:rFonts w:ascii="新細明體" w:eastAsia="新細明體" w:hAnsi="新細明體" w:cs="新細明體"/>
                      <w:kern w:val="0"/>
                      <w:szCs w:val="24"/>
                    </w:rPr>
                    <w:t>港男赴珠核檢</w:t>
                  </w:r>
                  <w:proofErr w:type="gramEnd"/>
                  <w:r w:rsidRPr="00F36293">
                    <w:rPr>
                      <w:rFonts w:ascii="新細明體" w:eastAsia="新細明體" w:hAnsi="新細明體" w:cs="新細明體"/>
                      <w:kern w:val="0"/>
                      <w:szCs w:val="24"/>
                    </w:rPr>
                    <w:t>陽性</w:t>
                  </w:r>
                </w:p>
                <w:p w14:paraId="696D16A9" w14:textId="77777777" w:rsidR="00F36293" w:rsidRPr="00F36293" w:rsidRDefault="00F36293" w:rsidP="00F36293">
                  <w:pPr>
                    <w:widowControl/>
                    <w:spacing w:line="315" w:lineRule="atLeast"/>
                    <w:rPr>
                      <w:rFonts w:ascii="Times New Roman" w:eastAsia="Times New Roman" w:hAnsi="Times New Roman" w:cs="Times New Roman"/>
                      <w:kern w:val="0"/>
                      <w:szCs w:val="24"/>
                    </w:rPr>
                  </w:pPr>
                  <w:r w:rsidRPr="00F36293">
                    <w:rPr>
                      <w:rFonts w:ascii="Times New Roman" w:eastAsia="Times New Roman" w:hAnsi="Times New Roman" w:cs="Times New Roman"/>
                      <w:kern w:val="0"/>
                      <w:szCs w:val="24"/>
                    </w:rPr>
                    <w:t>    </w:t>
                  </w:r>
                  <w:r w:rsidRPr="00F36293">
                    <w:rPr>
                      <w:rFonts w:ascii="新細明體" w:eastAsia="新細明體" w:hAnsi="新細明體" w:cs="新細明體"/>
                      <w:kern w:val="0"/>
                      <w:szCs w:val="24"/>
                    </w:rPr>
                    <w:t>廣東省衛生健康委昨日上午公佈珠海市新增一例境外</w:t>
                  </w:r>
                  <w:proofErr w:type="gramStart"/>
                  <w:r w:rsidRPr="00F36293">
                    <w:rPr>
                      <w:rFonts w:ascii="新細明體" w:eastAsia="新細明體" w:hAnsi="新細明體" w:cs="新細明體"/>
                      <w:kern w:val="0"/>
                      <w:szCs w:val="24"/>
                    </w:rPr>
                    <w:t>輸入新冠肺炎</w:t>
                  </w:r>
                  <w:proofErr w:type="gramEnd"/>
                  <w:r w:rsidRPr="00F36293">
                    <w:rPr>
                      <w:rFonts w:ascii="新細明體" w:eastAsia="新細明體" w:hAnsi="新細明體" w:cs="新細明體"/>
                      <w:kern w:val="0"/>
                      <w:szCs w:val="24"/>
                    </w:rPr>
                    <w:t>確診病例，該病例：葉某，男，十九歲，本月十四日晚上七時從</w:t>
                  </w:r>
                  <w:proofErr w:type="gramStart"/>
                  <w:r w:rsidRPr="00F36293">
                    <w:rPr>
                      <w:rFonts w:ascii="新細明體" w:eastAsia="新細明體" w:hAnsi="新細明體" w:cs="新細明體"/>
                      <w:kern w:val="0"/>
                      <w:szCs w:val="24"/>
                    </w:rPr>
                    <w:t>港珠澳</w:t>
                  </w:r>
                  <w:proofErr w:type="gramEnd"/>
                  <w:r w:rsidRPr="00F36293">
                    <w:rPr>
                      <w:rFonts w:ascii="新細明體" w:eastAsia="新細明體" w:hAnsi="新細明體" w:cs="新細明體"/>
                      <w:kern w:val="0"/>
                      <w:szCs w:val="24"/>
                    </w:rPr>
                    <w:t>大橋珠海公路口岸入境時發熱，閉環轉運至</w:t>
                  </w:r>
                  <w:proofErr w:type="gramStart"/>
                  <w:r w:rsidRPr="00F36293">
                    <w:rPr>
                      <w:rFonts w:ascii="新細明體" w:eastAsia="新細明體" w:hAnsi="新細明體" w:cs="新細明體"/>
                      <w:kern w:val="0"/>
                      <w:szCs w:val="24"/>
                    </w:rPr>
                    <w:t>遵醫</w:t>
                  </w:r>
                  <w:proofErr w:type="gramEnd"/>
                  <w:r w:rsidRPr="00F36293">
                    <w:rPr>
                      <w:rFonts w:ascii="新細明體" w:eastAsia="新細明體" w:hAnsi="新細明體" w:cs="新細明體"/>
                      <w:kern w:val="0"/>
                      <w:szCs w:val="24"/>
                    </w:rPr>
                    <w:t>五院就診時核酸檢測陽性，即通過負壓救護車全程閉環送至中大五院接受進一步診治，經珠海市疾控中心覆核陽性，目前診斷為輕型，病情穩定。</w:t>
                  </w:r>
                </w:p>
              </w:tc>
            </w:tr>
          </w:tbl>
          <w:p w14:paraId="5E49BA2A" w14:textId="77777777" w:rsidR="00F36293" w:rsidRPr="00F36293" w:rsidRDefault="00F36293" w:rsidP="00F36293">
            <w:pPr>
              <w:widowControl/>
              <w:rPr>
                <w:rFonts w:ascii="Times New Roman" w:eastAsia="Times New Roman" w:hAnsi="Times New Roman" w:cs="Times New Roman"/>
                <w:kern w:val="0"/>
                <w:szCs w:val="24"/>
              </w:rPr>
            </w:pPr>
          </w:p>
        </w:tc>
      </w:tr>
    </w:tbl>
    <w:p w14:paraId="25EFE042" w14:textId="637D2D26" w:rsidR="0081207D" w:rsidRPr="00F36293" w:rsidRDefault="00F36293" w:rsidP="00F36293">
      <w:pPr>
        <w:jc w:val="right"/>
        <w:rPr>
          <w:rFonts w:ascii="新細明體" w:eastAsia="新細明體" w:hAnsi="新細明體"/>
        </w:rPr>
      </w:pPr>
      <w:r w:rsidRPr="00F36293">
        <w:rPr>
          <w:rFonts w:ascii="新細明體" w:eastAsia="新細明體" w:hAnsi="新細明體" w:hint="eastAsia"/>
        </w:rPr>
        <w:lastRenderedPageBreak/>
        <w:t>【來源《澳門日報》】</w:t>
      </w:r>
    </w:p>
    <w:sectPr w:rsidR="0081207D" w:rsidRPr="00F362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6408" w14:textId="77777777" w:rsidR="00743003" w:rsidRDefault="00743003" w:rsidP="00F36293">
      <w:r>
        <w:separator/>
      </w:r>
    </w:p>
  </w:endnote>
  <w:endnote w:type="continuationSeparator" w:id="0">
    <w:p w14:paraId="4431C51B" w14:textId="77777777" w:rsidR="00743003" w:rsidRDefault="00743003" w:rsidP="00F3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2C07" w14:textId="77777777" w:rsidR="00743003" w:rsidRDefault="00743003" w:rsidP="00F36293">
      <w:r>
        <w:separator/>
      </w:r>
    </w:p>
  </w:footnote>
  <w:footnote w:type="continuationSeparator" w:id="0">
    <w:p w14:paraId="3B1291E8" w14:textId="77777777" w:rsidR="00743003" w:rsidRDefault="00743003" w:rsidP="00F3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3C"/>
    <w:rsid w:val="004D421A"/>
    <w:rsid w:val="006D42F0"/>
    <w:rsid w:val="00743003"/>
    <w:rsid w:val="007A503C"/>
    <w:rsid w:val="0081207D"/>
    <w:rsid w:val="00D4642F"/>
    <w:rsid w:val="00F3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DA2C"/>
  <w15:chartTrackingRefBased/>
  <w15:docId w15:val="{F6E8881A-7C20-421B-8CDB-F9B0E12C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2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36293"/>
    <w:rPr>
      <w:sz w:val="20"/>
      <w:szCs w:val="20"/>
    </w:rPr>
  </w:style>
  <w:style w:type="paragraph" w:styleId="Footer">
    <w:name w:val="footer"/>
    <w:basedOn w:val="Normal"/>
    <w:link w:val="FooterChar"/>
    <w:uiPriority w:val="99"/>
    <w:unhideWhenUsed/>
    <w:rsid w:val="00F362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36293"/>
    <w:rPr>
      <w:sz w:val="20"/>
      <w:szCs w:val="20"/>
    </w:rPr>
  </w:style>
  <w:style w:type="character" w:styleId="Strong">
    <w:name w:val="Strong"/>
    <w:basedOn w:val="DefaultParagraphFont"/>
    <w:uiPriority w:val="22"/>
    <w:qFormat/>
    <w:rsid w:val="00F36293"/>
    <w:rPr>
      <w:b/>
      <w:bCs/>
    </w:rPr>
  </w:style>
  <w:style w:type="paragraph" w:styleId="NormalWeb">
    <w:name w:val="Normal (Web)"/>
    <w:basedOn w:val="Normal"/>
    <w:uiPriority w:val="99"/>
    <w:semiHidden/>
    <w:unhideWhenUsed/>
    <w:rsid w:val="00F36293"/>
    <w:pPr>
      <w:widowControl/>
      <w:spacing w:before="100" w:beforeAutospacing="1" w:after="100" w:afterAutospacing="1"/>
    </w:pPr>
    <w:rPr>
      <w:rFonts w:ascii="Times New Roman" w:eastAsia="Times New Roman" w:hAnsi="Times New Roman" w:cs="Times New Roman"/>
      <w:kern w:val="0"/>
      <w:szCs w:val="24"/>
    </w:rPr>
  </w:style>
  <w:style w:type="character" w:customStyle="1" w:styleId="style11">
    <w:name w:val="style11"/>
    <w:basedOn w:val="DefaultParagraphFont"/>
    <w:rsid w:val="00F3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342">
      <w:bodyDiv w:val="1"/>
      <w:marLeft w:val="0"/>
      <w:marRight w:val="0"/>
      <w:marTop w:val="0"/>
      <w:marBottom w:val="0"/>
      <w:divBdr>
        <w:top w:val="none" w:sz="0" w:space="0" w:color="auto"/>
        <w:left w:val="none" w:sz="0" w:space="0" w:color="auto"/>
        <w:bottom w:val="none" w:sz="0" w:space="0" w:color="auto"/>
        <w:right w:val="none" w:sz="0" w:space="0" w:color="auto"/>
      </w:divBdr>
    </w:div>
    <w:div w:id="1868640139">
      <w:bodyDiv w:val="1"/>
      <w:marLeft w:val="0"/>
      <w:marRight w:val="0"/>
      <w:marTop w:val="0"/>
      <w:marBottom w:val="0"/>
      <w:divBdr>
        <w:top w:val="none" w:sz="0" w:space="0" w:color="auto"/>
        <w:left w:val="none" w:sz="0" w:space="0" w:color="auto"/>
        <w:bottom w:val="none" w:sz="0" w:space="0" w:color="auto"/>
        <w:right w:val="none" w:sz="0" w:space="0" w:color="auto"/>
      </w:divBdr>
      <w:divsChild>
        <w:div w:id="130150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aodaily.com/res/1/20220217/96211645032171986.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aodaily.com/res/1/20220217/61651645032171986.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陳慧玄</dc:creator>
  <cp:keywords/>
  <dc:description/>
  <cp:lastModifiedBy>Au Ka Heng</cp:lastModifiedBy>
  <cp:revision>4</cp:revision>
  <dcterms:created xsi:type="dcterms:W3CDTF">2022-03-07T16:03:00Z</dcterms:created>
  <dcterms:modified xsi:type="dcterms:W3CDTF">2022-08-02T04:36:00Z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