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CB" w:rsidRPr="00C948E8" w:rsidRDefault="00842B96" w:rsidP="00842B96">
      <w:pPr>
        <w:spacing w:line="264" w:lineRule="auto"/>
        <w:rPr>
          <w:b/>
          <w:u w:val="single"/>
        </w:rPr>
      </w:pPr>
      <w:bookmarkStart w:id="0" w:name="_GoBack"/>
      <w:bookmarkEnd w:id="0"/>
      <w:r>
        <w:rPr>
          <w:rFonts w:hAnsi="新細明體" w:hint="eastAsia"/>
          <w:b/>
          <w:u w:val="single"/>
        </w:rPr>
        <w:t>公平公正＞工作紙＞</w:t>
      </w:r>
      <w:r w:rsidR="00090CCB" w:rsidRPr="00C948E8">
        <w:rPr>
          <w:rFonts w:hAnsi="新細明體"/>
          <w:b/>
          <w:u w:val="single"/>
        </w:rPr>
        <w:t>影響公平競爭的後果</w:t>
      </w:r>
    </w:p>
    <w:p w:rsidR="00090CCB" w:rsidRDefault="00090CCB" w:rsidP="00090CCB">
      <w:pPr>
        <w:spacing w:line="264" w:lineRule="auto"/>
        <w:jc w:val="both"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1"/>
        <w:gridCol w:w="2132"/>
        <w:gridCol w:w="1424"/>
        <w:gridCol w:w="2663"/>
      </w:tblGrid>
      <w:tr w:rsidR="00090CCB" w:rsidTr="00090CCB">
        <w:trPr>
          <w:trHeight w:val="5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CB" w:rsidRDefault="00090CCB" w:rsidP="00090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CB" w:rsidRDefault="00090CCB" w:rsidP="00090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CB" w:rsidRDefault="00090CCB" w:rsidP="00090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CB" w:rsidRDefault="00090CCB" w:rsidP="00090C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090CCB" w:rsidTr="00090CCB">
        <w:trPr>
          <w:trHeight w:val="5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CB" w:rsidRDefault="00090CCB" w:rsidP="00090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CB" w:rsidRDefault="00090CCB" w:rsidP="00090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CB" w:rsidRDefault="00090CCB" w:rsidP="00090CC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CB" w:rsidRDefault="00B00B4E" w:rsidP="00090CC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90CCB">
              <w:rPr>
                <w:sz w:val="28"/>
                <w:szCs w:val="28"/>
              </w:rPr>
              <w:t xml:space="preserve">  </w:t>
            </w:r>
            <w:r w:rsidR="00090CCB">
              <w:rPr>
                <w:rFonts w:hint="eastAsia"/>
                <w:sz w:val="28"/>
                <w:szCs w:val="28"/>
              </w:rPr>
              <w:t>年</w:t>
            </w:r>
            <w:r w:rsidR="00090CCB">
              <w:rPr>
                <w:sz w:val="28"/>
                <w:szCs w:val="28"/>
              </w:rPr>
              <w:t xml:space="preserve">   </w:t>
            </w:r>
            <w:r w:rsidR="00090CCB">
              <w:rPr>
                <w:rFonts w:hint="eastAsia"/>
                <w:sz w:val="28"/>
                <w:szCs w:val="28"/>
              </w:rPr>
              <w:t>月</w:t>
            </w:r>
            <w:r w:rsidR="00090CCB">
              <w:rPr>
                <w:sz w:val="28"/>
                <w:szCs w:val="28"/>
              </w:rPr>
              <w:t xml:space="preserve">   </w:t>
            </w:r>
            <w:r w:rsidR="00090CC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90CCB" w:rsidRDefault="00090CCB" w:rsidP="00090CCB">
      <w:pPr>
        <w:spacing w:line="264" w:lineRule="auto"/>
        <w:jc w:val="both"/>
        <w:rPr>
          <w:b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882"/>
      </w:tblGrid>
      <w:tr w:rsidR="00090CCB" w:rsidRPr="00D16BD6" w:rsidTr="00090CCB">
        <w:tc>
          <w:tcPr>
            <w:tcW w:w="9000" w:type="dxa"/>
          </w:tcPr>
          <w:p w:rsidR="00090CCB" w:rsidRDefault="00090CCB" w:rsidP="00090CCB">
            <w:pPr>
              <w:spacing w:line="264" w:lineRule="auto"/>
              <w:jc w:val="center"/>
              <w:rPr>
                <w:rFonts w:hint="eastAsia"/>
                <w:b/>
                <w:bCs/>
                <w:sz w:val="27"/>
                <w:szCs w:val="27"/>
              </w:rPr>
            </w:pPr>
          </w:p>
          <w:p w:rsidR="00090CCB" w:rsidRDefault="00090CCB" w:rsidP="00090CCB">
            <w:pPr>
              <w:spacing w:line="264" w:lineRule="auto"/>
              <w:jc w:val="center"/>
              <w:rPr>
                <w:rFonts w:hint="eastAsia"/>
                <w:b/>
                <w:bCs/>
                <w:sz w:val="27"/>
                <w:szCs w:val="27"/>
              </w:rPr>
            </w:pPr>
            <w:r w:rsidRPr="00090CCB">
              <w:rPr>
                <w:rFonts w:hint="eastAsia"/>
                <w:b/>
                <w:bCs/>
                <w:sz w:val="27"/>
                <w:szCs w:val="27"/>
              </w:rPr>
              <w:t>前市政廳高級官員濫用職權被判刑</w:t>
            </w:r>
          </w:p>
          <w:p w:rsidR="00090CCB" w:rsidRPr="00090CCB" w:rsidRDefault="00090CCB" w:rsidP="00090CCB">
            <w:pPr>
              <w:spacing w:line="264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090CCB" w:rsidRPr="00090CCB" w:rsidRDefault="00090CCB" w:rsidP="00090CCB">
            <w:pPr>
              <w:spacing w:line="264" w:lineRule="auto"/>
              <w:ind w:firstLine="480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廉政公署曾偵破一宗前市政廳高級官員濫用職權案件，</w:t>
            </w:r>
            <w:r w:rsidRPr="00090CCB">
              <w:rPr>
                <w:rFonts w:eastAsia="標楷體" w:hAnsi="標楷體" w:hint="eastAsia"/>
                <w:sz w:val="27"/>
                <w:szCs w:val="27"/>
              </w:rPr>
              <w:t>基於被告的特殊身份和案件的嚴重性，法院的判罰較過去同類案件為重。其中首被告山度</w:t>
            </w:r>
            <w:r w:rsidRPr="00090CCB">
              <w:rPr>
                <w:rFonts w:eastAsia="標楷體" w:hint="eastAsia"/>
                <w:sz w:val="27"/>
                <w:szCs w:val="27"/>
              </w:rPr>
              <w:t>士為前澳門市政廳執行委員會全職委員，</w:t>
            </w:r>
            <w:r w:rsidRPr="00090CCB">
              <w:rPr>
                <w:rFonts w:eastAsia="標楷體"/>
                <w:sz w:val="27"/>
                <w:szCs w:val="27"/>
              </w:rPr>
              <w:t xml:space="preserve"> 6</w:t>
            </w:r>
            <w:r w:rsidRPr="00090CCB">
              <w:rPr>
                <w:rFonts w:eastAsia="標楷體" w:hint="eastAsia"/>
                <w:sz w:val="27"/>
                <w:szCs w:val="27"/>
              </w:rPr>
              <w:t>項濫用職權罪名成立，每項罪名被判監</w:t>
            </w:r>
            <w:r w:rsidRPr="00090CCB">
              <w:rPr>
                <w:rFonts w:eastAsia="標楷體"/>
                <w:sz w:val="27"/>
                <w:szCs w:val="27"/>
              </w:rPr>
              <w:t>10</w:t>
            </w:r>
            <w:r w:rsidRPr="00090CCB">
              <w:rPr>
                <w:rFonts w:eastAsia="標楷體" w:hint="eastAsia"/>
                <w:sz w:val="27"/>
                <w:szCs w:val="27"/>
              </w:rPr>
              <w:t>個月，合判</w:t>
            </w:r>
            <w:r w:rsidRPr="00090CCB">
              <w:rPr>
                <w:rFonts w:eastAsia="標楷體"/>
                <w:sz w:val="27"/>
                <w:szCs w:val="27"/>
              </w:rPr>
              <w:t>2</w:t>
            </w:r>
            <w:r w:rsidRPr="00090CCB">
              <w:rPr>
                <w:rFonts w:eastAsia="標楷體" w:hint="eastAsia"/>
                <w:sz w:val="27"/>
                <w:szCs w:val="27"/>
              </w:rPr>
              <w:t>年</w:t>
            </w:r>
            <w:r w:rsidRPr="00090CCB">
              <w:rPr>
                <w:rFonts w:eastAsia="標楷體"/>
                <w:sz w:val="27"/>
                <w:szCs w:val="27"/>
              </w:rPr>
              <w:t>10</w:t>
            </w:r>
            <w:r w:rsidRPr="00090CCB">
              <w:rPr>
                <w:rFonts w:eastAsia="標楷體" w:hint="eastAsia"/>
                <w:sz w:val="27"/>
                <w:szCs w:val="27"/>
              </w:rPr>
              <w:t>個月監禁，緩刑</w:t>
            </w:r>
            <w:r w:rsidRPr="00090CCB">
              <w:rPr>
                <w:rFonts w:eastAsia="標楷體"/>
                <w:sz w:val="27"/>
                <w:szCs w:val="27"/>
              </w:rPr>
              <w:t>3</w:t>
            </w:r>
            <w:r w:rsidRPr="00090CCB">
              <w:rPr>
                <w:rFonts w:eastAsia="標楷體" w:hint="eastAsia"/>
                <w:sz w:val="27"/>
                <w:szCs w:val="27"/>
              </w:rPr>
              <w:t>年</w:t>
            </w:r>
            <w:r w:rsidRPr="00090CCB">
              <w:rPr>
                <w:rFonts w:eastAsia="標楷體"/>
                <w:sz w:val="27"/>
                <w:szCs w:val="27"/>
              </w:rPr>
              <w:t>6</w:t>
            </w:r>
            <w:r w:rsidRPr="00090CCB">
              <w:rPr>
                <w:rFonts w:eastAsia="標楷體" w:hint="eastAsia"/>
                <w:sz w:val="27"/>
                <w:szCs w:val="27"/>
              </w:rPr>
              <w:t>個月，條件為必須在</w:t>
            </w:r>
            <w:r w:rsidRPr="00090CCB">
              <w:rPr>
                <w:rFonts w:eastAsia="標楷體"/>
                <w:sz w:val="27"/>
                <w:szCs w:val="27"/>
              </w:rPr>
              <w:t>2</w:t>
            </w:r>
            <w:r w:rsidRPr="00090CCB">
              <w:rPr>
                <w:rFonts w:eastAsia="標楷體" w:hint="eastAsia"/>
                <w:sz w:val="27"/>
                <w:szCs w:val="27"/>
              </w:rPr>
              <w:t>個月內繳付澳門幣</w:t>
            </w:r>
            <w:r w:rsidRPr="00090CCB">
              <w:rPr>
                <w:rFonts w:eastAsia="標楷體"/>
                <w:sz w:val="27"/>
                <w:szCs w:val="27"/>
              </w:rPr>
              <w:t>10</w:t>
            </w:r>
            <w:r w:rsidRPr="00090CCB">
              <w:rPr>
                <w:rFonts w:eastAsia="標楷體" w:hint="eastAsia"/>
                <w:sz w:val="27"/>
                <w:szCs w:val="27"/>
              </w:rPr>
              <w:t>萬元。</w:t>
            </w:r>
          </w:p>
          <w:p w:rsidR="00090CCB" w:rsidRPr="00090CCB" w:rsidRDefault="00090CCB" w:rsidP="00090CCB">
            <w:pPr>
              <w:spacing w:line="264" w:lineRule="auto"/>
              <w:ind w:firstLine="480"/>
              <w:jc w:val="both"/>
              <w:rPr>
                <w:rFonts w:eastAsia="標楷體"/>
                <w:sz w:val="27"/>
                <w:szCs w:val="27"/>
              </w:rPr>
            </w:pPr>
          </w:p>
          <w:p w:rsidR="00090CCB" w:rsidRPr="00090CCB" w:rsidRDefault="00090CCB" w:rsidP="00090CCB">
            <w:pPr>
              <w:spacing w:line="264" w:lineRule="auto"/>
              <w:ind w:firstLine="480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首被告涉及在批出包括物品及服務合同採購、工程時，存在明顯濫用職權的不規則行為，偏幫其中一間投標公司</w:t>
            </w:r>
            <w:r w:rsidRPr="00090CCB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090CCB">
              <w:rPr>
                <w:rFonts w:eastAsia="標楷體" w:hint="eastAsia"/>
                <w:sz w:val="27"/>
                <w:szCs w:val="27"/>
              </w:rPr>
              <w:t>“新建威行”，使其獲得批給有關項目，公司的一名股東是首被告山度士的姐夫。</w:t>
            </w:r>
          </w:p>
          <w:p w:rsidR="00090CCB" w:rsidRPr="00090CCB" w:rsidRDefault="00090CCB" w:rsidP="00090CCB">
            <w:pPr>
              <w:spacing w:line="264" w:lineRule="auto"/>
              <w:ind w:firstLine="480"/>
              <w:jc w:val="both"/>
              <w:rPr>
                <w:rFonts w:eastAsia="標楷體"/>
                <w:sz w:val="27"/>
                <w:szCs w:val="27"/>
              </w:rPr>
            </w:pPr>
          </w:p>
          <w:p w:rsidR="00090CCB" w:rsidRPr="00090CCB" w:rsidRDefault="00090CCB" w:rsidP="00090CCB">
            <w:pPr>
              <w:spacing w:line="264" w:lineRule="auto"/>
              <w:ind w:firstLine="480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起訴書主要針對與首被告有關的</w:t>
            </w:r>
            <w:r w:rsidRPr="00090CCB">
              <w:rPr>
                <w:rFonts w:eastAsia="標楷體"/>
                <w:sz w:val="27"/>
                <w:szCs w:val="27"/>
              </w:rPr>
              <w:t>6</w:t>
            </w:r>
            <w:r w:rsidRPr="00090CCB">
              <w:rPr>
                <w:rFonts w:eastAsia="標楷體" w:hint="eastAsia"/>
                <w:sz w:val="27"/>
                <w:szCs w:val="27"/>
              </w:rPr>
              <w:t>項採購批給項目提出控訴︰</w:t>
            </w:r>
          </w:p>
          <w:p w:rsidR="00090CCB" w:rsidRPr="00090CCB" w:rsidRDefault="00090CCB" w:rsidP="00090CC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向新建威行採購射燈，但該公司明顯並非一間供應燈飾的公司；</w:t>
            </w:r>
          </w:p>
          <w:p w:rsidR="00090CCB" w:rsidRPr="00090CCB" w:rsidRDefault="00090CCB" w:rsidP="00090CC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購置公園長櫈時，在投標中存有圍標跡象，且在有關審批中刻意繞過具有關權限的其他官員；</w:t>
            </w:r>
          </w:p>
          <w:p w:rsidR="00090CCB" w:rsidRPr="00090CCB" w:rsidRDefault="00090CCB" w:rsidP="00090CC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購置公園遊樂場電動車輛時，明顯存在不符合採購程序的情況，且向一些非專門供應商問價，最終由新建威行投得；</w:t>
            </w:r>
          </w:p>
          <w:p w:rsidR="00090CCB" w:rsidRPr="00090CCB" w:rsidRDefault="00090CCB" w:rsidP="00090CC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以新建威行供應電動車為理由，直接將相關公園的清潔及維修工作批給該公司，但該公司直至獲批給數月後才開始申請從事清潔服務的業務；</w:t>
            </w:r>
          </w:p>
          <w:p w:rsidR="00090CCB" w:rsidRPr="00090CCB" w:rsidRDefault="00090CCB" w:rsidP="00090CC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將在螺絲山公園建造兒童電車跑道的工程批給予該公司，但獲批給時該公司並未領有工程准照；</w:t>
            </w:r>
          </w:p>
          <w:p w:rsidR="00090CCB" w:rsidRPr="00090CCB" w:rsidRDefault="00090CCB" w:rsidP="00090CCB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t>在公廁清潔服務競投中，該公司得分並非最高，但仍贏得該項競投。</w:t>
            </w:r>
          </w:p>
          <w:p w:rsidR="00090CCB" w:rsidRPr="00090CCB" w:rsidRDefault="00090CCB" w:rsidP="00090CCB">
            <w:p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</w:p>
          <w:p w:rsidR="00090CCB" w:rsidRPr="00090CCB" w:rsidRDefault="00090CCB" w:rsidP="00090CCB">
            <w:p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  <w:r w:rsidRPr="00090CCB">
              <w:rPr>
                <w:rFonts w:eastAsia="標楷體"/>
                <w:sz w:val="27"/>
                <w:szCs w:val="27"/>
              </w:rPr>
              <w:t xml:space="preserve">    </w:t>
            </w:r>
            <w:r w:rsidRPr="00090CCB">
              <w:rPr>
                <w:rFonts w:eastAsia="標楷體" w:hint="eastAsia"/>
                <w:sz w:val="27"/>
                <w:szCs w:val="27"/>
              </w:rPr>
              <w:t>法官在判案時指出，被告等人的不公正及不妥當行為令行政當局的威信受到損害，直接影響政府的形象，同時造成政府之實質損失，以高出合理價格批出工程，因此作出上述判決。</w:t>
            </w:r>
          </w:p>
          <w:p w:rsidR="00090CCB" w:rsidRPr="00090CCB" w:rsidRDefault="00090CCB" w:rsidP="00090CCB">
            <w:pPr>
              <w:spacing w:line="264" w:lineRule="auto"/>
              <w:jc w:val="both"/>
              <w:rPr>
                <w:rFonts w:eastAsia="標楷體"/>
                <w:sz w:val="27"/>
                <w:szCs w:val="27"/>
              </w:rPr>
            </w:pPr>
          </w:p>
          <w:p w:rsidR="00090CCB" w:rsidRPr="00090CCB" w:rsidRDefault="00090CCB" w:rsidP="00090CCB">
            <w:pPr>
              <w:spacing w:line="264" w:lineRule="auto"/>
              <w:ind w:firstLineChars="200" w:firstLine="540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090CCB">
              <w:rPr>
                <w:rFonts w:eastAsia="標楷體" w:hint="eastAsia"/>
                <w:sz w:val="27"/>
                <w:szCs w:val="27"/>
              </w:rPr>
              <w:lastRenderedPageBreak/>
              <w:t>從案情中大家可以看到，一家資歷不高的</w:t>
            </w:r>
            <w:r w:rsidRPr="00090CCB">
              <w:rPr>
                <w:rFonts w:ascii="標楷體" w:eastAsia="標楷體" w:hAnsi="標楷體" w:hint="eastAsia"/>
                <w:sz w:val="27"/>
                <w:szCs w:val="27"/>
              </w:rPr>
              <w:t xml:space="preserve">公司，卻能勝過老行尊和專業公司，業務更 “包羅萬有”，非常多元化，不靠關係焉能中標？這樣對其他循規蹈矩的公司公平嗎？政府和市民的利益可得到保障嗎？ </w:t>
            </w:r>
          </w:p>
          <w:p w:rsidR="00090CCB" w:rsidRPr="00090CCB" w:rsidRDefault="00090CCB" w:rsidP="00090CCB">
            <w:pPr>
              <w:spacing w:line="264" w:lineRule="auto"/>
              <w:rPr>
                <w:sz w:val="27"/>
                <w:szCs w:val="27"/>
              </w:rPr>
            </w:pPr>
          </w:p>
          <w:p w:rsidR="00090CCB" w:rsidRPr="00D16BD6" w:rsidRDefault="00090CCB" w:rsidP="00090CCB">
            <w:pPr>
              <w:spacing w:line="264" w:lineRule="auto"/>
              <w:jc w:val="right"/>
              <w:rPr>
                <w:rFonts w:eastAsia="標楷體"/>
                <w:sz w:val="20"/>
                <w:szCs w:val="20"/>
              </w:rPr>
            </w:pPr>
            <w:r w:rsidRPr="00090CCB">
              <w:rPr>
                <w:rFonts w:hAnsi="新細明體"/>
                <w:sz w:val="27"/>
                <w:szCs w:val="27"/>
              </w:rPr>
              <w:t>（資料來自廉政公署</w:t>
            </w:r>
            <w:smartTag w:uri="urn:schemas-microsoft-com:office:smarttags" w:element="chsdate">
              <w:smartTagPr>
                <w:attr w:name="Year" w:val="2004"/>
                <w:attr w:name="Month" w:val="12"/>
                <w:attr w:name="Day" w:val="3"/>
                <w:attr w:name="IsLunarDate" w:val="False"/>
                <w:attr w:name="IsROCDate" w:val="False"/>
              </w:smartTagPr>
              <w:r w:rsidRPr="00090CCB">
                <w:rPr>
                  <w:sz w:val="27"/>
                  <w:szCs w:val="27"/>
                </w:rPr>
                <w:t>2004</w:t>
              </w:r>
              <w:r w:rsidRPr="00090CCB">
                <w:rPr>
                  <w:rFonts w:hAnsi="新細明體"/>
                  <w:sz w:val="27"/>
                  <w:szCs w:val="27"/>
                </w:rPr>
                <w:t>年</w:t>
              </w:r>
              <w:r w:rsidRPr="00090CCB">
                <w:rPr>
                  <w:sz w:val="27"/>
                  <w:szCs w:val="27"/>
                </w:rPr>
                <w:t>12</w:t>
              </w:r>
              <w:r w:rsidRPr="00090CCB">
                <w:rPr>
                  <w:rFonts w:hAnsi="新細明體"/>
                  <w:sz w:val="27"/>
                  <w:szCs w:val="27"/>
                </w:rPr>
                <w:t>月</w:t>
              </w:r>
              <w:r w:rsidRPr="00090CCB">
                <w:rPr>
                  <w:sz w:val="27"/>
                  <w:szCs w:val="27"/>
                </w:rPr>
                <w:t>3</w:t>
              </w:r>
              <w:r w:rsidRPr="00090CCB">
                <w:rPr>
                  <w:rFonts w:hAnsi="新細明體"/>
                  <w:sz w:val="27"/>
                  <w:szCs w:val="27"/>
                </w:rPr>
                <w:t>日</w:t>
              </w:r>
            </w:smartTag>
            <w:r w:rsidRPr="00090CCB">
              <w:rPr>
                <w:rFonts w:hAnsi="新細明體"/>
                <w:sz w:val="27"/>
                <w:szCs w:val="27"/>
              </w:rPr>
              <w:t>新聞稿）</w:t>
            </w:r>
          </w:p>
        </w:tc>
      </w:tr>
    </w:tbl>
    <w:p w:rsidR="00090CCB" w:rsidRDefault="00090CCB" w:rsidP="00090CCB">
      <w:pPr>
        <w:spacing w:line="264" w:lineRule="auto"/>
        <w:ind w:left="490"/>
        <w:jc w:val="both"/>
        <w:rPr>
          <w:rFonts w:hint="eastAsia"/>
          <w:b/>
        </w:rPr>
      </w:pPr>
    </w:p>
    <w:p w:rsidR="00090CCB" w:rsidRDefault="00090CCB" w:rsidP="00090CCB">
      <w:pPr>
        <w:spacing w:line="264" w:lineRule="auto"/>
        <w:ind w:left="490"/>
        <w:jc w:val="both"/>
        <w:rPr>
          <w:rFonts w:hint="eastAsia"/>
          <w:b/>
        </w:rPr>
      </w:pPr>
    </w:p>
    <w:p w:rsidR="00090CCB" w:rsidRDefault="00090CCB" w:rsidP="00090CCB">
      <w:pPr>
        <w:spacing w:line="264" w:lineRule="auto"/>
        <w:ind w:left="490"/>
        <w:jc w:val="both"/>
        <w:rPr>
          <w:rFonts w:hint="eastAsia"/>
          <w:b/>
        </w:rPr>
      </w:pPr>
    </w:p>
    <w:p w:rsidR="00090CCB" w:rsidRPr="00D16BD6" w:rsidRDefault="00090CCB" w:rsidP="00090CCB">
      <w:pPr>
        <w:spacing w:line="264" w:lineRule="auto"/>
        <w:jc w:val="both"/>
        <w:rPr>
          <w:b/>
        </w:rPr>
      </w:pPr>
      <w:r w:rsidRPr="00D16BD6">
        <w:rPr>
          <w:b/>
        </w:rPr>
        <w:t>討論：</w:t>
      </w:r>
    </w:p>
    <w:p w:rsidR="00090CCB" w:rsidRDefault="00090CCB" w:rsidP="00090CCB">
      <w:pPr>
        <w:numPr>
          <w:ilvl w:val="1"/>
          <w:numId w:val="1"/>
        </w:numPr>
        <w:tabs>
          <w:tab w:val="clear" w:pos="840"/>
          <w:tab w:val="num" w:pos="360"/>
        </w:tabs>
        <w:spacing w:line="264" w:lineRule="auto"/>
        <w:ind w:left="360" w:hangingChars="150"/>
        <w:jc w:val="both"/>
        <w:rPr>
          <w:rFonts w:hint="eastAsia"/>
          <w:color w:val="000000"/>
        </w:rPr>
      </w:pPr>
      <w:r w:rsidRPr="0051379D">
        <w:rPr>
          <w:color w:val="000000"/>
        </w:rPr>
        <w:t>如有投</w:t>
      </w:r>
      <w:r w:rsidRPr="00455F5E">
        <w:rPr>
          <w:rFonts w:hint="eastAsia"/>
          <w:color w:val="000000"/>
        </w:rPr>
        <w:t>標</w:t>
      </w:r>
      <w:r w:rsidRPr="0051379D">
        <w:rPr>
          <w:color w:val="000000"/>
        </w:rPr>
        <w:t>的</w:t>
      </w:r>
      <w:r w:rsidRPr="00455F5E">
        <w:rPr>
          <w:rFonts w:hint="eastAsia"/>
          <w:color w:val="000000"/>
        </w:rPr>
        <w:t>公司</w:t>
      </w:r>
      <w:r w:rsidRPr="0051379D">
        <w:rPr>
          <w:color w:val="000000"/>
        </w:rPr>
        <w:t>跟</w:t>
      </w:r>
      <w:r w:rsidRPr="00455F5E">
        <w:rPr>
          <w:rFonts w:hint="eastAsia"/>
          <w:color w:val="000000"/>
        </w:rPr>
        <w:t>審標的政府官員</w:t>
      </w:r>
      <w:r w:rsidRPr="0051379D">
        <w:rPr>
          <w:color w:val="000000"/>
        </w:rPr>
        <w:t>有親屬關係，且</w:t>
      </w:r>
      <w:r w:rsidRPr="00455F5E">
        <w:rPr>
          <w:rFonts w:hint="eastAsia"/>
          <w:color w:val="000000"/>
        </w:rPr>
        <w:t>投</w:t>
      </w:r>
      <w:r w:rsidRPr="0051379D">
        <w:rPr>
          <w:color w:val="000000"/>
        </w:rPr>
        <w:t>得</w:t>
      </w:r>
      <w:r w:rsidRPr="00455F5E">
        <w:rPr>
          <w:rFonts w:hint="eastAsia"/>
          <w:color w:val="000000"/>
        </w:rPr>
        <w:t>合約</w:t>
      </w:r>
      <w:r w:rsidRPr="0051379D">
        <w:rPr>
          <w:color w:val="000000"/>
        </w:rPr>
        <w:t>，這</w:t>
      </w:r>
      <w:r>
        <w:rPr>
          <w:rFonts w:hint="eastAsia"/>
          <w:color w:val="000000"/>
        </w:rPr>
        <w:t>會造成怎樣的</w:t>
      </w:r>
      <w:r w:rsidRPr="0051379D">
        <w:rPr>
          <w:color w:val="000000"/>
        </w:rPr>
        <w:t>影響？</w:t>
      </w:r>
    </w:p>
    <w:p w:rsidR="00090CCB" w:rsidRDefault="00090CCB" w:rsidP="00090CCB">
      <w:pPr>
        <w:spacing w:line="264" w:lineRule="auto"/>
        <w:jc w:val="both"/>
        <w:rPr>
          <w:color w:val="000000"/>
        </w:rPr>
      </w:pPr>
    </w:p>
    <w:p w:rsidR="00090CCB" w:rsidRDefault="00090CCB" w:rsidP="00090CCB">
      <w:pPr>
        <w:spacing w:line="264" w:lineRule="auto"/>
        <w:ind w:leftChars="150" w:left="360"/>
        <w:jc w:val="both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rFonts w:hint="eastAsia"/>
          <w:color w:val="000000"/>
        </w:rPr>
        <w:t>_____</w:t>
      </w:r>
    </w:p>
    <w:p w:rsidR="00090CCB" w:rsidRDefault="00090CCB" w:rsidP="00090CCB">
      <w:pPr>
        <w:spacing w:line="264" w:lineRule="auto"/>
        <w:ind w:leftChars="150" w:left="360"/>
        <w:jc w:val="both"/>
        <w:rPr>
          <w:rFonts w:hint="eastAsia"/>
          <w:color w:val="000000"/>
        </w:rPr>
      </w:pPr>
    </w:p>
    <w:p w:rsidR="00090CCB" w:rsidRDefault="00090CCB" w:rsidP="00090CCB">
      <w:pPr>
        <w:spacing w:line="264" w:lineRule="auto"/>
        <w:ind w:leftChars="150" w:left="360"/>
        <w:jc w:val="both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rFonts w:hint="eastAsia"/>
          <w:color w:val="000000"/>
        </w:rPr>
        <w:t>_____</w:t>
      </w:r>
    </w:p>
    <w:p w:rsidR="00090CCB" w:rsidRDefault="00090CCB" w:rsidP="00090CCB">
      <w:pPr>
        <w:numPr>
          <w:ilvl w:val="1"/>
          <w:numId w:val="1"/>
        </w:numPr>
        <w:tabs>
          <w:tab w:val="clear" w:pos="840"/>
          <w:tab w:val="num" w:pos="360"/>
        </w:tabs>
        <w:spacing w:line="264" w:lineRule="auto"/>
        <w:ind w:left="0" w:firstLine="0"/>
        <w:jc w:val="both"/>
        <w:rPr>
          <w:color w:val="000000"/>
        </w:rPr>
      </w:pPr>
      <w:r>
        <w:rPr>
          <w:rFonts w:hint="eastAsia"/>
          <w:color w:val="000000"/>
        </w:rPr>
        <w:t>即使</w:t>
      </w:r>
      <w:r w:rsidRPr="0051379D">
        <w:rPr>
          <w:color w:val="000000"/>
        </w:rPr>
        <w:t>那</w:t>
      </w:r>
      <w:r w:rsidRPr="00455F5E">
        <w:rPr>
          <w:rFonts w:hint="eastAsia"/>
          <w:color w:val="000000"/>
        </w:rPr>
        <w:t>審</w:t>
      </w:r>
      <w:r w:rsidRPr="00034479">
        <w:rPr>
          <w:rFonts w:hint="eastAsia"/>
          <w:color w:val="000000"/>
        </w:rPr>
        <w:t>標者</w:t>
      </w:r>
      <w:r w:rsidRPr="0051379D">
        <w:rPr>
          <w:color w:val="000000"/>
        </w:rPr>
        <w:t>自問公正處事，</w:t>
      </w:r>
      <w:r w:rsidRPr="00034479">
        <w:rPr>
          <w:rFonts w:hint="eastAsia"/>
          <w:color w:val="000000"/>
        </w:rPr>
        <w:t>市民</w:t>
      </w:r>
      <w:r w:rsidRPr="0051379D">
        <w:rPr>
          <w:color w:val="000000"/>
        </w:rPr>
        <w:t>的疑慮可以釋除嗎？</w:t>
      </w:r>
    </w:p>
    <w:p w:rsidR="00090CCB" w:rsidRDefault="00090CCB" w:rsidP="00090CCB">
      <w:pPr>
        <w:spacing w:line="264" w:lineRule="auto"/>
        <w:jc w:val="both"/>
        <w:rPr>
          <w:color w:val="000000"/>
        </w:rPr>
      </w:pPr>
    </w:p>
    <w:p w:rsidR="00090CCB" w:rsidRDefault="00090CCB" w:rsidP="00090CCB">
      <w:pPr>
        <w:spacing w:line="264" w:lineRule="auto"/>
        <w:ind w:leftChars="150" w:left="360"/>
        <w:jc w:val="both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rFonts w:hint="eastAsia"/>
          <w:color w:val="000000"/>
        </w:rPr>
        <w:t>_____</w:t>
      </w:r>
    </w:p>
    <w:p w:rsidR="00090CCB" w:rsidRDefault="00090CCB" w:rsidP="00090CCB">
      <w:pPr>
        <w:spacing w:line="264" w:lineRule="auto"/>
        <w:ind w:leftChars="150" w:left="360"/>
        <w:jc w:val="both"/>
        <w:rPr>
          <w:rFonts w:hint="eastAsia"/>
          <w:color w:val="000000"/>
        </w:rPr>
      </w:pPr>
    </w:p>
    <w:p w:rsidR="00090CCB" w:rsidRDefault="00090CCB" w:rsidP="00090CCB">
      <w:pPr>
        <w:spacing w:line="264" w:lineRule="auto"/>
        <w:ind w:leftChars="150" w:left="360"/>
        <w:jc w:val="both"/>
        <w:rPr>
          <w:rFonts w:hint="eastAsia"/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rFonts w:hint="eastAsia"/>
          <w:color w:val="000000"/>
        </w:rPr>
        <w:t>_____</w:t>
      </w:r>
    </w:p>
    <w:p w:rsidR="00090CCB" w:rsidRDefault="00090CCB" w:rsidP="0015560E">
      <w:pPr>
        <w:tabs>
          <w:tab w:val="left" w:pos="6150"/>
        </w:tabs>
        <w:spacing w:line="264" w:lineRule="auto"/>
        <w:jc w:val="both"/>
        <w:rPr>
          <w:rFonts w:hint="eastAsia"/>
        </w:rPr>
      </w:pPr>
    </w:p>
    <w:sectPr w:rsidR="00090CCB" w:rsidSect="00090CC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58" w:right="1466" w:bottom="107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20" w:rsidRDefault="00197220">
      <w:r>
        <w:separator/>
      </w:r>
    </w:p>
  </w:endnote>
  <w:endnote w:type="continuationSeparator" w:id="0">
    <w:p w:rsidR="00197220" w:rsidRDefault="0019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0E" w:rsidRDefault="0015560E" w:rsidP="00090C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60E" w:rsidRDefault="0015560E" w:rsidP="00090C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0E" w:rsidRDefault="0015560E" w:rsidP="00090C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15BB">
      <w:rPr>
        <w:rStyle w:val="PageNumber"/>
        <w:noProof/>
      </w:rPr>
      <w:t>2</w:t>
    </w:r>
    <w:r>
      <w:rPr>
        <w:rStyle w:val="PageNumber"/>
      </w:rPr>
      <w:fldChar w:fldCharType="end"/>
    </w:r>
  </w:p>
  <w:p w:rsidR="0015560E" w:rsidRDefault="0015560E" w:rsidP="00090C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20" w:rsidRDefault="00197220">
      <w:r>
        <w:separator/>
      </w:r>
    </w:p>
  </w:footnote>
  <w:footnote w:type="continuationSeparator" w:id="0">
    <w:p w:rsidR="00197220" w:rsidRDefault="0019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0E" w:rsidRDefault="0015560E" w:rsidP="00090C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60E" w:rsidRDefault="0015560E" w:rsidP="00090CC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0E" w:rsidRDefault="0015560E" w:rsidP="00090CCB">
    <w:pPr>
      <w:pStyle w:val="Header"/>
      <w:framePr w:wrap="around" w:vAnchor="text" w:hAnchor="margin" w:xAlign="right" w:y="1"/>
      <w:rPr>
        <w:rStyle w:val="PageNumber"/>
      </w:rPr>
    </w:pPr>
  </w:p>
  <w:p w:rsidR="0015560E" w:rsidRDefault="0015560E" w:rsidP="00090CC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2FB"/>
    <w:multiLevelType w:val="hybridMultilevel"/>
    <w:tmpl w:val="484ABFA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452901D8"/>
    <w:multiLevelType w:val="hybridMultilevel"/>
    <w:tmpl w:val="16CAC1EC"/>
    <w:lvl w:ilvl="0" w:tplc="5D260BC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D5471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A6C547C"/>
    <w:multiLevelType w:val="hybridMultilevel"/>
    <w:tmpl w:val="B4F0C85E"/>
    <w:lvl w:ilvl="0" w:tplc="DEDA135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CB"/>
    <w:rsid w:val="00090CCB"/>
    <w:rsid w:val="0015560E"/>
    <w:rsid w:val="00197220"/>
    <w:rsid w:val="007315BB"/>
    <w:rsid w:val="00842B96"/>
    <w:rsid w:val="00B00B4E"/>
    <w:rsid w:val="00C906BF"/>
    <w:rsid w:val="00D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2D10-C6E6-4A40-9134-14759888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CB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0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090CCB"/>
  </w:style>
  <w:style w:type="table" w:styleId="TableGrid">
    <w:name w:val="Table Grid"/>
    <w:basedOn w:val="TableNormal"/>
    <w:rsid w:val="00090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90CC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工作紙2 － 影響公平競爭的後果</vt:lpstr>
    </vt:vector>
  </TitlesOfParts>
  <Company>CCAC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工作紙2 － 影響公平競爭的後果</dc:title>
  <dc:subject/>
  <dc:creator>chloi</dc:creator>
  <cp:keywords/>
  <dc:description/>
  <cp:lastModifiedBy>Kyle, Ka Heng Au</cp:lastModifiedBy>
  <cp:revision>2</cp:revision>
  <dcterms:created xsi:type="dcterms:W3CDTF">2018-08-20T03:46:00Z</dcterms:created>
  <dcterms:modified xsi:type="dcterms:W3CDTF">2018-08-20T03:46:00Z</dcterms:modified>
</cp:coreProperties>
</file>