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CE" w:rsidRDefault="0014183A" w:rsidP="009613CE">
      <w:pPr>
        <w:rPr>
          <w:b/>
          <w:u w:val="single"/>
        </w:rPr>
      </w:pPr>
      <w:proofErr w:type="gramStart"/>
      <w:r w:rsidRPr="0014183A">
        <w:rPr>
          <w:rFonts w:hint="eastAsia"/>
          <w:b/>
          <w:u w:val="single"/>
        </w:rPr>
        <w:t>公正公正</w:t>
      </w:r>
      <w:proofErr w:type="gramEnd"/>
      <w:r w:rsidRPr="0014183A">
        <w:rPr>
          <w:rFonts w:hint="eastAsia"/>
          <w:b/>
          <w:u w:val="single"/>
        </w:rPr>
        <w:t>&gt;</w:t>
      </w:r>
      <w:r w:rsidR="009613CE" w:rsidRPr="0014183A">
        <w:rPr>
          <w:rFonts w:hint="eastAsia"/>
          <w:b/>
          <w:u w:val="single"/>
        </w:rPr>
        <w:t>工作紙</w:t>
      </w:r>
      <w:r w:rsidRPr="0014183A">
        <w:rPr>
          <w:rFonts w:hint="eastAsia"/>
          <w:b/>
          <w:u w:val="single"/>
        </w:rPr>
        <w:t>&gt;</w:t>
      </w:r>
      <w:r w:rsidR="009613CE" w:rsidRPr="0014183A">
        <w:rPr>
          <w:rFonts w:hint="eastAsia"/>
          <w:b/>
          <w:u w:val="single"/>
        </w:rPr>
        <w:t>個案討論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461"/>
        <w:gridCol w:w="1645"/>
        <w:gridCol w:w="1418"/>
        <w:gridCol w:w="2772"/>
      </w:tblGrid>
      <w:tr w:rsidR="0014183A" w:rsidRPr="0014183A" w:rsidTr="0014183A">
        <w:trPr>
          <w:trHeight w:val="5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班別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學號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</w:tr>
      <w:tr w:rsidR="0014183A" w:rsidRPr="0014183A" w:rsidTr="0014183A">
        <w:trPr>
          <w:trHeight w:val="38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3A" w:rsidRPr="004C59E9" w:rsidRDefault="0014183A" w:rsidP="001418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59E9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C59E9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4C59E9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4C59E9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9613CE" w:rsidRDefault="009613CE" w:rsidP="009613C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13CE" w:rsidTr="009613CE">
        <w:tc>
          <w:tcPr>
            <w:tcW w:w="8296" w:type="dxa"/>
          </w:tcPr>
          <w:p w:rsidR="009613CE" w:rsidRPr="008B039F" w:rsidRDefault="009613CE" w:rsidP="009613CE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bookmarkStart w:id="0" w:name="_GoBack"/>
            <w:bookmarkEnd w:id="0"/>
            <w:r w:rsidRPr="008B039F">
              <w:rPr>
                <w:rFonts w:ascii="標楷體" w:eastAsia="標楷體" w:hAnsi="標楷體" w:hint="eastAsia"/>
                <w:kern w:val="0"/>
                <w:szCs w:val="24"/>
                <w:shd w:val="pct15" w:color="auto" w:fill="FFFFFF"/>
              </w:rPr>
              <w:t>房屋局職員濫用職權案</w:t>
            </w:r>
          </w:p>
          <w:p w:rsidR="009613CE" w:rsidRPr="009613CE" w:rsidRDefault="009613CE" w:rsidP="002844E3">
            <w:pPr>
              <w:widowControl/>
              <w:spacing w:before="100" w:beforeAutospacing="1" w:after="100" w:afterAutospacing="1"/>
              <w:ind w:firstLineChars="200" w:firstLine="480"/>
              <w:outlineLvl w:val="0"/>
              <w:rPr>
                <w:rFonts w:ascii="標楷體" w:eastAsia="標楷體" w:hAnsi="標楷體"/>
                <w:szCs w:val="24"/>
              </w:rPr>
            </w:pPr>
            <w:r w:rsidRPr="009613CE">
              <w:rPr>
                <w:rFonts w:ascii="標楷體" w:eastAsia="標楷體" w:hAnsi="標楷體" w:hint="eastAsia"/>
                <w:szCs w:val="24"/>
              </w:rPr>
              <w:t>前房屋局職員涉瞄準當局推出「低層樓宇共同設施維修臨時資助計劃」有利可圖，開立工程公司專門承接有關工程，由撰寫申請書、審批申請、發放資助、完工巡查均一手包辦，最終被初級法院判處濫用職權罪、違反保密罪罪名成立，</w:t>
            </w:r>
            <w:proofErr w:type="gramStart"/>
            <w:r w:rsidRPr="009613CE">
              <w:rPr>
                <w:rFonts w:ascii="標楷體" w:eastAsia="標楷體" w:hAnsi="標楷體" w:hint="eastAsia"/>
                <w:szCs w:val="24"/>
              </w:rPr>
              <w:t>合判囚</w:t>
            </w:r>
            <w:proofErr w:type="gramEnd"/>
            <w:r w:rsidRPr="009613CE">
              <w:rPr>
                <w:rFonts w:ascii="標楷體" w:eastAsia="標楷體" w:hAnsi="標楷體" w:hint="eastAsia"/>
                <w:szCs w:val="24"/>
              </w:rPr>
              <w:t>一年三個月。其即時透過律師提出上訴，法庭採取提供身份資料及居所書錄，以及定期報到的強制措施，待中級法院判決。</w:t>
            </w:r>
          </w:p>
          <w:p w:rsidR="009613CE" w:rsidRDefault="009613CE" w:rsidP="009613CE">
            <w:pPr>
              <w:jc w:val="right"/>
              <w:rPr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613CE">
              <w:rPr>
                <w:rFonts w:ascii="標楷體" w:eastAsia="標楷體" w:hAnsi="標楷體" w:hint="eastAsia"/>
                <w:szCs w:val="24"/>
              </w:rPr>
              <w:t>節錄自澳門日報2015年6月19日</w:t>
            </w:r>
          </w:p>
        </w:tc>
      </w:tr>
    </w:tbl>
    <w:p w:rsidR="009613CE" w:rsidRDefault="009613CE" w:rsidP="009613CE">
      <w:pPr>
        <w:rPr>
          <w:b/>
        </w:rPr>
      </w:pPr>
    </w:p>
    <w:p w:rsidR="009613CE" w:rsidRPr="009613CE" w:rsidRDefault="009613CE" w:rsidP="009613CE">
      <w:pPr>
        <w:widowControl/>
        <w:outlineLvl w:val="0"/>
        <w:rPr>
          <w:b/>
          <w:kern w:val="0"/>
          <w:szCs w:val="24"/>
        </w:rPr>
      </w:pPr>
      <w:r w:rsidRPr="009613CE">
        <w:rPr>
          <w:rFonts w:hint="eastAsia"/>
          <w:b/>
          <w:kern w:val="0"/>
          <w:szCs w:val="24"/>
        </w:rPr>
        <w:t>問題討論</w:t>
      </w:r>
    </w:p>
    <w:p w:rsidR="009613CE" w:rsidRDefault="009613CE" w:rsidP="009613CE">
      <w:pPr>
        <w:pStyle w:val="a4"/>
        <w:widowControl/>
        <w:numPr>
          <w:ilvl w:val="0"/>
          <w:numId w:val="1"/>
        </w:numPr>
        <w:ind w:leftChars="0" w:left="358" w:hangingChars="149" w:hanging="358"/>
        <w:outlineLvl w:val="0"/>
        <w:rPr>
          <w:kern w:val="0"/>
          <w:szCs w:val="24"/>
        </w:rPr>
      </w:pPr>
      <w:r w:rsidRPr="00637DAC">
        <w:rPr>
          <w:rFonts w:hint="eastAsia"/>
          <w:kern w:val="0"/>
          <w:szCs w:val="24"/>
        </w:rPr>
        <w:t>若負責審批申請之公務員開立公司，再批給自己承接工程，這會造成</w:t>
      </w:r>
      <w:r>
        <w:rPr>
          <w:rFonts w:hint="eastAsia"/>
          <w:kern w:val="0"/>
          <w:szCs w:val="24"/>
        </w:rPr>
        <w:t>甚</w:t>
      </w:r>
      <w:r w:rsidRPr="00637DAC">
        <w:rPr>
          <w:rFonts w:hint="eastAsia"/>
          <w:kern w:val="0"/>
          <w:szCs w:val="24"/>
        </w:rPr>
        <w:t>麼影響？</w:t>
      </w:r>
    </w:p>
    <w:p w:rsidR="009613CE" w:rsidRDefault="009613CE" w:rsidP="009613CE">
      <w:pPr>
        <w:pStyle w:val="a4"/>
        <w:widowControl/>
        <w:ind w:leftChars="0" w:left="358"/>
        <w:outlineLvl w:val="0"/>
        <w:rPr>
          <w:kern w:val="0"/>
          <w:szCs w:val="24"/>
        </w:rPr>
      </w:pPr>
      <w:proofErr w:type="gramStart"/>
      <w:r>
        <w:rPr>
          <w:rFonts w:hint="eastAsia"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kern w:val="0"/>
          <w:szCs w:val="24"/>
        </w:rPr>
        <w:t>＿＿＿＿＿＿＿＿＿＿＿＿＿＿＿＿＿＿＿＿＿＿＿＿＿＿＿＿＿＿＿＿＿＿＿＿＿＿＿＿＿＿＿＿＿＿</w:t>
      </w:r>
    </w:p>
    <w:p w:rsidR="009613CE" w:rsidRDefault="009613CE" w:rsidP="009613CE">
      <w:pPr>
        <w:pStyle w:val="a4"/>
        <w:widowControl/>
        <w:ind w:leftChars="0" w:left="358"/>
        <w:outlineLvl w:val="0"/>
        <w:rPr>
          <w:kern w:val="0"/>
          <w:szCs w:val="24"/>
        </w:rPr>
      </w:pPr>
      <w:proofErr w:type="gramStart"/>
      <w:r>
        <w:rPr>
          <w:rFonts w:hint="eastAsia"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kern w:val="0"/>
          <w:szCs w:val="24"/>
        </w:rPr>
        <w:t>＿＿＿＿＿＿＿＿＿＿＿＿＿</w:t>
      </w:r>
    </w:p>
    <w:p w:rsidR="009613CE" w:rsidRDefault="009613CE" w:rsidP="009613CE">
      <w:pPr>
        <w:pStyle w:val="a4"/>
        <w:widowControl/>
        <w:ind w:leftChars="0" w:left="358"/>
        <w:outlineLvl w:val="0"/>
        <w:rPr>
          <w:kern w:val="0"/>
          <w:szCs w:val="24"/>
        </w:rPr>
      </w:pPr>
    </w:p>
    <w:p w:rsidR="009613CE" w:rsidRDefault="009613CE" w:rsidP="009613CE">
      <w:pPr>
        <w:widowControl/>
        <w:numPr>
          <w:ilvl w:val="0"/>
          <w:numId w:val="1"/>
        </w:numPr>
        <w:ind w:left="358" w:hangingChars="149" w:hanging="358"/>
        <w:outlineLvl w:val="0"/>
        <w:rPr>
          <w:kern w:val="0"/>
          <w:szCs w:val="24"/>
        </w:rPr>
      </w:pPr>
      <w:r w:rsidRPr="009613CE">
        <w:rPr>
          <w:rFonts w:hint="eastAsia"/>
          <w:kern w:val="0"/>
          <w:szCs w:val="24"/>
        </w:rPr>
        <w:t>如果其中</w:t>
      </w:r>
      <w:proofErr w:type="gramStart"/>
      <w:r w:rsidRPr="009613CE">
        <w:rPr>
          <w:rFonts w:hint="eastAsia"/>
          <w:kern w:val="0"/>
          <w:szCs w:val="24"/>
        </w:rPr>
        <w:t>一</w:t>
      </w:r>
      <w:proofErr w:type="gramEnd"/>
      <w:r w:rsidRPr="009613CE">
        <w:rPr>
          <w:rFonts w:hint="eastAsia"/>
          <w:kern w:val="0"/>
          <w:szCs w:val="24"/>
        </w:rPr>
        <w:t>申請者與審批者有親屬關係，如何處理可體現其會公平處事呢？</w:t>
      </w:r>
    </w:p>
    <w:p w:rsidR="009613CE" w:rsidRDefault="009613CE" w:rsidP="009613CE">
      <w:pPr>
        <w:widowControl/>
        <w:ind w:left="358"/>
        <w:outlineLvl w:val="0"/>
        <w:rPr>
          <w:kern w:val="0"/>
          <w:szCs w:val="24"/>
        </w:rPr>
      </w:pPr>
      <w:proofErr w:type="gramStart"/>
      <w:r>
        <w:rPr>
          <w:rFonts w:hint="eastAsia"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kern w:val="0"/>
          <w:szCs w:val="24"/>
        </w:rPr>
        <w:t>＿＿＿＿＿＿＿＿＿＿＿＿＿＿＿＿＿＿＿＿＿＿＿＿＿＿＿＿＿＿＿＿＿＿＿＿＿＿＿＿＿＿＿＿＿＿</w:t>
      </w:r>
    </w:p>
    <w:p w:rsidR="009613CE" w:rsidRDefault="009613CE" w:rsidP="009613CE">
      <w:pPr>
        <w:widowControl/>
        <w:ind w:left="358"/>
        <w:outlineLvl w:val="0"/>
        <w:rPr>
          <w:kern w:val="0"/>
          <w:szCs w:val="24"/>
        </w:rPr>
      </w:pPr>
      <w:proofErr w:type="gramStart"/>
      <w:r>
        <w:rPr>
          <w:rFonts w:hint="eastAsia"/>
          <w:kern w:val="0"/>
          <w:szCs w:val="24"/>
        </w:rPr>
        <w:t>＿＿＿＿＿＿＿＿＿＿＿＿＿＿＿＿＿＿＿＿</w:t>
      </w:r>
      <w:proofErr w:type="gramEnd"/>
      <w:r>
        <w:rPr>
          <w:rFonts w:hint="eastAsia"/>
          <w:kern w:val="0"/>
          <w:szCs w:val="24"/>
        </w:rPr>
        <w:t>＿＿＿＿＿＿＿＿＿＿＿＿＿</w:t>
      </w:r>
    </w:p>
    <w:p w:rsidR="009613CE" w:rsidRDefault="009613CE" w:rsidP="009613CE">
      <w:pPr>
        <w:widowControl/>
        <w:outlineLvl w:val="0"/>
        <w:rPr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13CE" w:rsidTr="009613CE">
        <w:tc>
          <w:tcPr>
            <w:tcW w:w="8296" w:type="dxa"/>
          </w:tcPr>
          <w:p w:rsidR="009613CE" w:rsidRPr="009613CE" w:rsidRDefault="009613CE" w:rsidP="009613CE">
            <w:pPr>
              <w:widowControl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shd w:val="pct15" w:color="auto" w:fill="FFFFFF"/>
              </w:rPr>
            </w:pPr>
            <w:r w:rsidRPr="009613CE">
              <w:rPr>
                <w:rFonts w:hint="eastAsia"/>
                <w:b/>
                <w:kern w:val="0"/>
                <w:szCs w:val="24"/>
                <w:shd w:val="pct15" w:color="auto" w:fill="FFFFFF"/>
              </w:rPr>
              <w:t>香港</w:t>
            </w:r>
            <w:r w:rsidRPr="009613CE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shd w:val="pct15" w:color="auto" w:fill="FFFFFF"/>
              </w:rPr>
              <w:t>廉署起訴工程公司前東主</w:t>
            </w:r>
            <w:proofErr w:type="gramStart"/>
            <w:r w:rsidRPr="009613CE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shd w:val="pct15" w:color="auto" w:fill="FFFFFF"/>
              </w:rPr>
              <w:t>疑</w:t>
            </w:r>
            <w:proofErr w:type="gramEnd"/>
            <w:r w:rsidRPr="009613CE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shd w:val="pct15" w:color="auto" w:fill="FFFFFF"/>
              </w:rPr>
              <w:t>涉</w:t>
            </w:r>
            <w:r w:rsidRPr="009613CE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  <w:shd w:val="pct15" w:color="auto" w:fill="FFFFFF"/>
              </w:rPr>
              <w:t>4500</w:t>
            </w:r>
            <w:r w:rsidRPr="009613CE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shd w:val="pct15" w:color="auto" w:fill="FFFFFF"/>
              </w:rPr>
              <w:t>萬元圍標貪污案</w:t>
            </w:r>
          </w:p>
          <w:p w:rsidR="009613CE" w:rsidRDefault="009613CE" w:rsidP="009613CE">
            <w:pPr>
              <w:widowControl/>
              <w:spacing w:line="384" w:lineRule="atLeast"/>
              <w:rPr>
                <w:rFonts w:ascii="標楷體" w:eastAsia="標楷體" w:hAnsi="標楷體" w:cs="Arial"/>
                <w:color w:val="37373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 xml:space="preserve">　　</w:t>
            </w:r>
          </w:p>
          <w:p w:rsidR="009613CE" w:rsidRPr="009613CE" w:rsidRDefault="009613CE" w:rsidP="009613CE">
            <w:pPr>
              <w:widowControl/>
              <w:spacing w:after="150" w:line="384" w:lineRule="atLeast"/>
              <w:rPr>
                <w:rFonts w:ascii="標楷體" w:eastAsia="標楷體" w:hAnsi="標楷體" w:cs="Arial"/>
                <w:color w:val="37373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 xml:space="preserve">　　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香港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廉政公署落案起訴一名工程公司前東主，控告他涉嫌串謀他人提供共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4500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多萬元賄款，以圍標方式取得沙田兩個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屋苑及土瓜灣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一幢住宅大廈的顧問及翻新工程合約。</w:t>
            </w:r>
          </w:p>
          <w:p w:rsidR="009613CE" w:rsidRPr="009613CE" w:rsidRDefault="009613CE" w:rsidP="009613CE">
            <w:pPr>
              <w:widowControl/>
              <w:spacing w:after="150" w:line="384" w:lineRule="atLeast"/>
              <w:rPr>
                <w:rFonts w:ascii="標楷體" w:eastAsia="標楷體" w:hAnsi="標楷體" w:cs="Arial"/>
                <w:color w:val="373737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 xml:space="preserve">　　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被告於案發時為一間工程公司的東主，並參與多幢樓宇的翻新工程。</w:t>
            </w:r>
          </w:p>
          <w:p w:rsidR="009613CE" w:rsidRPr="009613CE" w:rsidRDefault="009613CE" w:rsidP="009613CE">
            <w:pPr>
              <w:widowControl/>
              <w:spacing w:after="150" w:line="384" w:lineRule="atLeast"/>
              <w:rPr>
                <w:rFonts w:ascii="標楷體" w:eastAsia="標楷體" w:hAnsi="標楷體" w:cs="Arial"/>
                <w:color w:val="373737"/>
                <w:kern w:val="0"/>
                <w:szCs w:val="24"/>
              </w:rPr>
            </w:pP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 xml:space="preserve">    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其中三項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控罪指被告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涉嫌於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2010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年至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2014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年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2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月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期間，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與一名顧問公司董事、另一間顧問公司的一名股東及一名翻新工程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分判商串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謀，向沙田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一個屋苑的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物業管理公司一名物業經理和一名高層人員以及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該屋苑業主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立案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法團(法團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)主席，分別提供</w:t>
            </w:r>
            <w:proofErr w:type="gramStart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該屋苑樓宇</w:t>
            </w:r>
            <w:proofErr w:type="gramEnd"/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翻新工程總工程費用的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1%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、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6%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及</w:t>
            </w:r>
            <w:r w:rsidRPr="009613CE">
              <w:rPr>
                <w:rFonts w:ascii="標楷體" w:eastAsia="標楷體" w:hAnsi="標楷體" w:cs="Arial" w:hint="eastAsia"/>
                <w:color w:val="373737"/>
                <w:kern w:val="0"/>
                <w:szCs w:val="24"/>
              </w:rPr>
              <w:t>10%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t>，</w:t>
            </w:r>
            <w:r w:rsidRPr="009613CE">
              <w:rPr>
                <w:rFonts w:ascii="標楷體" w:eastAsia="標楷體" w:hAnsi="標楷體" w:cs="Arial"/>
                <w:color w:val="373737"/>
                <w:kern w:val="0"/>
                <w:szCs w:val="24"/>
              </w:rPr>
              <w:lastRenderedPageBreak/>
              <w:t>作為提供有關該工程的資料予該等人士，以及協助他們取得該工程的顧問及翻新工程合約的報酬。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9613CE" w:rsidRPr="009613CE" w:rsidTr="00B315F4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9613CE" w:rsidRPr="009613CE" w:rsidRDefault="009613CE" w:rsidP="009613CE">
                  <w:pPr>
                    <w:widowControl/>
                    <w:jc w:val="righ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9613CE">
                    <w:rPr>
                      <w:rFonts w:ascii="標楷體" w:eastAsia="標楷體" w:hAnsi="標楷體" w:hint="eastAsia"/>
                      <w:szCs w:val="24"/>
                    </w:rPr>
                    <w:t>節錄自</w:t>
                  </w:r>
                  <w:r w:rsidRPr="009613CE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香港廉政公署新聞稿</w:t>
                  </w:r>
                  <w:r w:rsidRPr="009613C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2015年7月2日</w:t>
                  </w:r>
                </w:p>
              </w:tc>
            </w:tr>
          </w:tbl>
          <w:p w:rsidR="009613CE" w:rsidRDefault="009613CE" w:rsidP="009613CE">
            <w:pPr>
              <w:widowControl/>
              <w:outlineLvl w:val="0"/>
              <w:rPr>
                <w:kern w:val="0"/>
                <w:szCs w:val="24"/>
              </w:rPr>
            </w:pPr>
          </w:p>
        </w:tc>
      </w:tr>
    </w:tbl>
    <w:p w:rsidR="009613CE" w:rsidRPr="009613CE" w:rsidRDefault="009613CE" w:rsidP="009613CE">
      <w:pPr>
        <w:widowControl/>
        <w:spacing w:beforeLines="100" w:before="360"/>
        <w:outlineLvl w:val="0"/>
        <w:rPr>
          <w:rFonts w:asciiTheme="majorEastAsia" w:eastAsiaTheme="majorEastAsia" w:hAnsiTheme="majorEastAsia"/>
          <w:b/>
          <w:kern w:val="0"/>
          <w:szCs w:val="24"/>
        </w:rPr>
      </w:pPr>
      <w:r w:rsidRPr="009613CE">
        <w:rPr>
          <w:rFonts w:asciiTheme="majorEastAsia" w:eastAsiaTheme="majorEastAsia" w:hAnsiTheme="majorEastAsia" w:hint="eastAsia"/>
          <w:b/>
          <w:kern w:val="0"/>
          <w:szCs w:val="24"/>
        </w:rPr>
        <w:lastRenderedPageBreak/>
        <w:t>問題討論</w:t>
      </w:r>
    </w:p>
    <w:p w:rsidR="009613CE" w:rsidRDefault="009613CE" w:rsidP="009613CE">
      <w:pPr>
        <w:widowControl/>
        <w:numPr>
          <w:ilvl w:val="0"/>
          <w:numId w:val="2"/>
        </w:numPr>
        <w:spacing w:beforeLines="100" w:before="360"/>
        <w:ind w:left="358" w:hangingChars="149" w:hanging="358"/>
        <w:outlineLvl w:val="0"/>
        <w:rPr>
          <w:rFonts w:asciiTheme="majorEastAsia" w:eastAsiaTheme="majorEastAsia" w:hAnsiTheme="majorEastAsia"/>
          <w:kern w:val="0"/>
          <w:szCs w:val="24"/>
        </w:rPr>
      </w:pPr>
      <w:r w:rsidRPr="009613CE">
        <w:rPr>
          <w:rFonts w:asciiTheme="majorEastAsia" w:eastAsiaTheme="majorEastAsia" w:hAnsiTheme="majorEastAsia" w:hint="eastAsia"/>
          <w:kern w:val="0"/>
          <w:szCs w:val="24"/>
        </w:rPr>
        <w:t>上述兩則新聞，都是因為有人貪污，企圖用利益收買別人</w:t>
      </w:r>
      <w:r w:rsidR="00A53EFE">
        <w:rPr>
          <w:rFonts w:asciiTheme="majorEastAsia" w:eastAsiaTheme="majorEastAsia" w:hAnsiTheme="majorEastAsia" w:hint="eastAsia"/>
          <w:kern w:val="0"/>
          <w:szCs w:val="24"/>
        </w:rPr>
        <w:t>或濫用審批權</w:t>
      </w:r>
      <w:r w:rsidRPr="009613CE">
        <w:rPr>
          <w:rFonts w:asciiTheme="majorEastAsia" w:eastAsiaTheme="majorEastAsia" w:hAnsiTheme="majorEastAsia" w:hint="eastAsia"/>
          <w:kern w:val="0"/>
          <w:szCs w:val="24"/>
        </w:rPr>
        <w:t>，以令自己獲得更大利益，當中如何影響公平公正，最終會令到誰受害？</w:t>
      </w:r>
    </w:p>
    <w:p w:rsidR="009613CE" w:rsidRDefault="009613CE" w:rsidP="009613CE">
      <w:pPr>
        <w:widowControl/>
        <w:ind w:left="357"/>
        <w:outlineLvl w:val="0"/>
        <w:rPr>
          <w:rFonts w:asciiTheme="majorEastAsia" w:eastAsiaTheme="majorEastAsia" w:hAnsiTheme="majorEastAsia"/>
          <w:kern w:val="0"/>
          <w:szCs w:val="24"/>
        </w:rPr>
      </w:pPr>
      <w:proofErr w:type="gramStart"/>
      <w:r>
        <w:rPr>
          <w:rFonts w:asciiTheme="majorEastAsia" w:eastAsiaTheme="majorEastAsia" w:hAnsiTheme="majorEastAsia" w:hint="eastAsia"/>
          <w:kern w:val="0"/>
          <w:szCs w:val="24"/>
        </w:rPr>
        <w:t>＿＿＿＿＿＿＿＿＿＿＿＿＿＿＿＿＿＿＿＿</w:t>
      </w:r>
      <w:proofErr w:type="gramEnd"/>
      <w:r>
        <w:rPr>
          <w:rFonts w:asciiTheme="majorEastAsia" w:eastAsiaTheme="majorEastAsia" w:hAnsiTheme="majorEastAsia" w:hint="eastAsia"/>
          <w:kern w:val="0"/>
          <w:szCs w:val="24"/>
        </w:rPr>
        <w:t>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9613CE" w:rsidRDefault="009613CE" w:rsidP="009613CE">
      <w:pPr>
        <w:widowControl/>
        <w:outlineLvl w:val="0"/>
        <w:rPr>
          <w:rFonts w:asciiTheme="majorEastAsia" w:eastAsiaTheme="majorEastAsia" w:hAnsiTheme="majorEastAsia"/>
          <w:kern w:val="0"/>
          <w:szCs w:val="24"/>
        </w:rPr>
      </w:pPr>
    </w:p>
    <w:p w:rsidR="009613CE" w:rsidRPr="009613CE" w:rsidRDefault="002379D3" w:rsidP="009613CE">
      <w:pPr>
        <w:pStyle w:val="a4"/>
        <w:widowControl/>
        <w:numPr>
          <w:ilvl w:val="0"/>
          <w:numId w:val="2"/>
        </w:numPr>
        <w:ind w:leftChars="0"/>
        <w:outlineLvl w:val="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試想想有甚</w:t>
      </w:r>
      <w:r w:rsidR="009613CE" w:rsidRPr="009613CE">
        <w:rPr>
          <w:rFonts w:asciiTheme="majorEastAsia" w:eastAsiaTheme="majorEastAsia" w:hAnsiTheme="majorEastAsia" w:hint="eastAsia"/>
          <w:kern w:val="0"/>
          <w:szCs w:val="24"/>
        </w:rPr>
        <w:t>麼方法可以令到主事者能公平處事，不敢觸犯法律？</w:t>
      </w:r>
    </w:p>
    <w:p w:rsidR="009613CE" w:rsidRPr="009613CE" w:rsidRDefault="009613CE" w:rsidP="009613CE">
      <w:pPr>
        <w:widowControl/>
        <w:ind w:left="360"/>
        <w:outlineLvl w:val="0"/>
        <w:rPr>
          <w:kern w:val="0"/>
          <w:szCs w:val="24"/>
        </w:rPr>
      </w:pPr>
      <w:r>
        <w:rPr>
          <w:rFonts w:hint="eastAsia"/>
          <w:kern w:val="0"/>
          <w:szCs w:val="24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9613CE" w:rsidRPr="009613CE" w:rsidRDefault="009613CE" w:rsidP="009613CE">
      <w:pPr>
        <w:rPr>
          <w:b/>
        </w:rPr>
      </w:pPr>
    </w:p>
    <w:p w:rsidR="009613CE" w:rsidRDefault="009613CE" w:rsidP="009613CE">
      <w:pPr>
        <w:rPr>
          <w:b/>
        </w:rPr>
      </w:pPr>
    </w:p>
    <w:p w:rsidR="009613CE" w:rsidRDefault="009613CE" w:rsidP="009613CE">
      <w:pPr>
        <w:rPr>
          <w:b/>
        </w:rPr>
      </w:pPr>
    </w:p>
    <w:p w:rsidR="009613CE" w:rsidRDefault="009613CE" w:rsidP="009613CE">
      <w:pPr>
        <w:rPr>
          <w:b/>
        </w:rPr>
      </w:pPr>
    </w:p>
    <w:p w:rsidR="0096704E" w:rsidRPr="009613CE" w:rsidRDefault="0096704E"/>
    <w:sectPr w:rsidR="0096704E" w:rsidRPr="00961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B90"/>
    <w:multiLevelType w:val="hybridMultilevel"/>
    <w:tmpl w:val="988E21F4"/>
    <w:lvl w:ilvl="0" w:tplc="893C2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C464F"/>
    <w:multiLevelType w:val="hybridMultilevel"/>
    <w:tmpl w:val="5600C414"/>
    <w:lvl w:ilvl="0" w:tplc="C900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CE"/>
    <w:rsid w:val="0014183A"/>
    <w:rsid w:val="002379D3"/>
    <w:rsid w:val="002844E3"/>
    <w:rsid w:val="004C59E9"/>
    <w:rsid w:val="008B039F"/>
    <w:rsid w:val="009613CE"/>
    <w:rsid w:val="0096704E"/>
    <w:rsid w:val="00A5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5048E-B232-442F-862D-D1C3709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CE"/>
    <w:pPr>
      <w:widowControl w:val="0"/>
    </w:pPr>
    <w:rPr>
      <w:rFonts w:ascii="Times New Roman" w:eastAsia="新細明體" w:hAnsi="Times New Roman" w:cs="Times New Roman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3CE"/>
    <w:pPr>
      <w:ind w:leftChars="200" w:left="480"/>
    </w:pPr>
  </w:style>
  <w:style w:type="table" w:customStyle="1" w:styleId="1">
    <w:name w:val="表格格線1"/>
    <w:basedOn w:val="a1"/>
    <w:next w:val="a3"/>
    <w:rsid w:val="0014183A"/>
    <w:rPr>
      <w:rFonts w:ascii="Calibri" w:eastAsia="Times New Roman" w:hAnsi="Calibri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1001</Characters>
  <Application>Microsoft Office Word</Application>
  <DocSecurity>0</DocSecurity>
  <Lines>8</Lines>
  <Paragraphs>2</Paragraphs>
  <ScaleCrop>false</ScaleCrop>
  <Company>CCAC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Man Lee</dc:creator>
  <cp:keywords/>
  <dc:description/>
  <cp:lastModifiedBy>Stephanie, Man Wa Ao</cp:lastModifiedBy>
  <cp:revision>7</cp:revision>
  <dcterms:created xsi:type="dcterms:W3CDTF">2016-08-12T02:22:00Z</dcterms:created>
  <dcterms:modified xsi:type="dcterms:W3CDTF">2016-09-26T02:30:00Z</dcterms:modified>
</cp:coreProperties>
</file>